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1E200" w14:textId="1E289D03" w:rsidR="00DE2E17" w:rsidRDefault="009470FC" w:rsidP="00757F2B">
      <w:pPr>
        <w:pStyle w:val="Heading2"/>
        <w:framePr w:w="10410" w:h="646" w:wrap="auto" w:x="774" w:y="511"/>
        <w:rPr>
          <w:color w:val="00823B"/>
          <w:szCs w:val="28"/>
        </w:rPr>
      </w:pPr>
      <w:r>
        <w:rPr>
          <w:color w:val="00823B"/>
          <w:szCs w:val="28"/>
        </w:rPr>
        <w:t xml:space="preserve"> </w:t>
      </w:r>
    </w:p>
    <w:p w14:paraId="2AE7E275" w14:textId="77777777" w:rsidR="00DE2E17" w:rsidRPr="00482BEB" w:rsidRDefault="00DE2E17" w:rsidP="00757F2B">
      <w:pPr>
        <w:pStyle w:val="Heading2"/>
        <w:framePr w:w="10410" w:h="646" w:wrap="auto" w:x="774" w:y="511"/>
        <w:rPr>
          <w:color w:val="00823B"/>
          <w:sz w:val="36"/>
          <w:szCs w:val="36"/>
        </w:rPr>
      </w:pPr>
      <w:r w:rsidRPr="00482BEB">
        <w:rPr>
          <w:color w:val="00823B"/>
          <w:sz w:val="36"/>
          <w:szCs w:val="36"/>
        </w:rPr>
        <w:t>MINISTRY OF ENVIRONMENT</w:t>
      </w:r>
      <w:r w:rsidR="00757F2B">
        <w:rPr>
          <w:color w:val="00823B"/>
          <w:sz w:val="36"/>
          <w:szCs w:val="36"/>
        </w:rPr>
        <w:t xml:space="preserve"> AND CLIMATE CHANGE</w:t>
      </w:r>
    </w:p>
    <w:p w14:paraId="1CE76EC9" w14:textId="77777777" w:rsidR="00DE2E17" w:rsidRPr="00C03C7F" w:rsidRDefault="00B25DB5" w:rsidP="00DE2E17">
      <w:pPr>
        <w:framePr w:hSpace="142" w:vSpace="142" w:wrap="auto" w:vAnchor="text" w:hAnchor="page" w:x="5533" w:y="-385"/>
        <w:jc w:val="center"/>
        <w:rPr>
          <w:rFonts w:ascii="Times New Roman"/>
          <w:color w:val="FF9900"/>
          <w:sz w:val="24"/>
          <w:szCs w:val="24"/>
        </w:rPr>
      </w:pPr>
      <w:r w:rsidRPr="00B25DB5">
        <w:rPr>
          <w:rFonts w:ascii="Times New Roman"/>
          <w:noProof/>
          <w:color w:val="FF9900"/>
          <w:sz w:val="24"/>
          <w:szCs w:val="24"/>
        </w:rPr>
        <w:object w:dxaOrig="4065" w:dyaOrig="4050" w14:anchorId="1EF2A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54.65pt;height:50.2pt;mso-width-percent:0;mso-height-percent:0;mso-width-percent:0;mso-height-percent:0" o:ole="" fillcolor="window">
            <v:imagedata r:id="rId8" o:title=""/>
          </v:shape>
          <o:OLEObject Type="Embed" ProgID="MS_ClipArt_Gallery.2" ShapeID="_x0000_i1032" DrawAspect="Content" ObjectID="_1827485924" r:id="rId9"/>
        </w:object>
      </w:r>
    </w:p>
    <w:p w14:paraId="7591C50C" w14:textId="77777777" w:rsidR="00DE2E17" w:rsidRDefault="00DE2E17" w:rsidP="00DE2E17">
      <w:pPr>
        <w:framePr w:w="4783" w:h="1066" w:hRule="exact" w:hSpace="144" w:vSpace="144" w:wrap="around" w:vAnchor="text" w:hAnchor="page" w:x="3817" w:y="1162"/>
        <w:spacing w:line="240" w:lineRule="auto"/>
        <w:jc w:val="center"/>
        <w:rPr>
          <w:rFonts w:ascii="Times New Roman"/>
          <w:sz w:val="20"/>
        </w:rPr>
      </w:pPr>
    </w:p>
    <w:p w14:paraId="744147C1" w14:textId="77777777" w:rsidR="00A545A5" w:rsidRDefault="00A545A5" w:rsidP="00A545A5">
      <w:pPr>
        <w:framePr w:w="4783" w:h="1066" w:hRule="exact" w:hSpace="144" w:vSpace="144" w:wrap="around" w:vAnchor="text" w:hAnchor="page" w:x="3817" w:y="1162"/>
        <w:spacing w:line="240" w:lineRule="auto"/>
        <w:jc w:val="center"/>
        <w:rPr>
          <w:rFonts w:ascii="Times New Roman"/>
          <w:sz w:val="22"/>
          <w:szCs w:val="22"/>
        </w:rPr>
      </w:pPr>
      <w:r w:rsidRPr="003B7C77">
        <w:rPr>
          <w:rFonts w:ascii="Times New Roman"/>
          <w:sz w:val="22"/>
          <w:szCs w:val="22"/>
        </w:rPr>
        <w:t>Levels 1 &amp; 2, Bali Tower, 318 Toorak Road</w:t>
      </w:r>
    </w:p>
    <w:p w14:paraId="076AB49F" w14:textId="77777777" w:rsidR="00A545A5" w:rsidRPr="00F10359" w:rsidRDefault="00A545A5" w:rsidP="00A545A5">
      <w:pPr>
        <w:framePr w:w="4783" w:h="1066" w:hRule="exact" w:hSpace="144" w:vSpace="144" w:wrap="around" w:vAnchor="text" w:hAnchor="page" w:x="3817" w:y="1162"/>
        <w:spacing w:line="240" w:lineRule="auto"/>
        <w:jc w:val="center"/>
        <w:rPr>
          <w:rFonts w:ascii="Times New Roman"/>
          <w:sz w:val="22"/>
          <w:szCs w:val="22"/>
        </w:rPr>
      </w:pPr>
      <w:r w:rsidRPr="00F10359">
        <w:rPr>
          <w:rFonts w:ascii="Times New Roman"/>
          <w:sz w:val="22"/>
          <w:szCs w:val="22"/>
        </w:rPr>
        <w:t>P. O. Box 2109</w:t>
      </w:r>
    </w:p>
    <w:p w14:paraId="239FF4D5" w14:textId="77777777" w:rsidR="00A545A5" w:rsidRPr="00F10359" w:rsidRDefault="00A545A5" w:rsidP="00A545A5">
      <w:pPr>
        <w:framePr w:w="4783" w:h="1066" w:hRule="exact" w:hSpace="144" w:vSpace="144" w:wrap="around" w:vAnchor="text" w:hAnchor="page" w:x="3817" w:y="1162"/>
        <w:spacing w:line="240" w:lineRule="auto"/>
        <w:jc w:val="center"/>
        <w:rPr>
          <w:rFonts w:ascii="Times New Roman"/>
          <w:sz w:val="22"/>
          <w:szCs w:val="22"/>
        </w:rPr>
      </w:pPr>
      <w:r w:rsidRPr="00F10359">
        <w:rPr>
          <w:rFonts w:ascii="Times New Roman"/>
          <w:sz w:val="22"/>
          <w:szCs w:val="22"/>
        </w:rPr>
        <w:t>Government Buildings, Suva, Fiji</w:t>
      </w:r>
    </w:p>
    <w:p w14:paraId="4A804447" w14:textId="77777777" w:rsidR="00DE2E17" w:rsidRDefault="007D28FD" w:rsidP="00DE2E17">
      <w:pPr>
        <w:rPr>
          <w:color w:val="00B050"/>
        </w:rPr>
      </w:pPr>
      <w:r>
        <w:rPr>
          <w:color w:val="00B050"/>
        </w:rPr>
        <w:tab/>
      </w:r>
    </w:p>
    <w:p w14:paraId="35C83AC6" w14:textId="77777777" w:rsidR="00DE2E17" w:rsidRDefault="00DE2E17" w:rsidP="00DE2E17">
      <w:pPr>
        <w:pBdr>
          <w:bottom w:val="single" w:sz="12" w:space="0" w:color="auto"/>
        </w:pBdr>
        <w:spacing w:line="240" w:lineRule="auto"/>
        <w:jc w:val="left"/>
        <w:rPr>
          <w:rFonts w:ascii="Franklin Gothic Demi" w:hAnsi="Franklin Gothic Demi"/>
          <w:color w:val="00823B"/>
          <w:sz w:val="18"/>
          <w:szCs w:val="18"/>
        </w:rPr>
      </w:pPr>
    </w:p>
    <w:p w14:paraId="5D8395BF" w14:textId="77777777" w:rsidR="00DE2E17" w:rsidRDefault="00DE2E17" w:rsidP="00DE2E17">
      <w:pPr>
        <w:pBdr>
          <w:bottom w:val="single" w:sz="12" w:space="0" w:color="auto"/>
        </w:pBdr>
        <w:spacing w:line="240" w:lineRule="auto"/>
        <w:jc w:val="left"/>
        <w:rPr>
          <w:rFonts w:ascii="Franklin Gothic Demi" w:hAnsi="Franklin Gothic Demi"/>
          <w:color w:val="00823B"/>
          <w:sz w:val="18"/>
          <w:szCs w:val="18"/>
        </w:rPr>
      </w:pPr>
    </w:p>
    <w:p w14:paraId="1C1495BC" w14:textId="77777777" w:rsidR="00DE2E17" w:rsidRDefault="00DE2E17" w:rsidP="00DE2E17">
      <w:pPr>
        <w:pBdr>
          <w:bottom w:val="single" w:sz="12" w:space="0" w:color="auto"/>
        </w:pBdr>
        <w:spacing w:line="240" w:lineRule="auto"/>
        <w:jc w:val="left"/>
        <w:rPr>
          <w:rFonts w:ascii="Franklin Gothic Demi" w:hAnsi="Franklin Gothic Demi"/>
          <w:color w:val="00823B"/>
          <w:sz w:val="18"/>
          <w:szCs w:val="18"/>
        </w:rPr>
      </w:pPr>
    </w:p>
    <w:p w14:paraId="5CC0FC80" w14:textId="77777777" w:rsidR="00DE2E17" w:rsidRDefault="00DE2E17" w:rsidP="00DE2E17">
      <w:pPr>
        <w:pBdr>
          <w:bottom w:val="single" w:sz="12" w:space="0" w:color="auto"/>
        </w:pBdr>
        <w:spacing w:line="240" w:lineRule="auto"/>
        <w:jc w:val="left"/>
        <w:rPr>
          <w:rFonts w:ascii="Franklin Gothic Demi" w:hAnsi="Franklin Gothic Demi"/>
          <w:color w:val="00823B"/>
          <w:sz w:val="18"/>
          <w:szCs w:val="18"/>
        </w:rPr>
      </w:pPr>
    </w:p>
    <w:p w14:paraId="72A3A4F8" w14:textId="77777777" w:rsidR="00757F2B" w:rsidRDefault="00757F2B" w:rsidP="00DE2E17">
      <w:pPr>
        <w:pBdr>
          <w:bottom w:val="single" w:sz="12" w:space="0" w:color="auto"/>
        </w:pBdr>
        <w:spacing w:line="240" w:lineRule="auto"/>
        <w:jc w:val="left"/>
        <w:rPr>
          <w:rFonts w:ascii="Franklin Gothic Demi" w:hAnsi="Franklin Gothic Demi"/>
          <w:color w:val="00823B"/>
          <w:sz w:val="18"/>
          <w:szCs w:val="18"/>
        </w:rPr>
      </w:pPr>
    </w:p>
    <w:p w14:paraId="0A733BF1" w14:textId="5325AA91" w:rsidR="00BB744C" w:rsidRDefault="00DE2E17" w:rsidP="00BB744C">
      <w:pPr>
        <w:pBdr>
          <w:bottom w:val="single" w:sz="12" w:space="0" w:color="auto"/>
        </w:pBdr>
        <w:spacing w:line="240" w:lineRule="auto"/>
        <w:jc w:val="center"/>
        <w:rPr>
          <w:rFonts w:ascii="Franklin Gothic Demi" w:hAnsi="Franklin Gothic Demi"/>
          <w:color w:val="00823B"/>
          <w:sz w:val="18"/>
          <w:szCs w:val="18"/>
        </w:rPr>
      </w:pPr>
      <w:r w:rsidRPr="00615626">
        <w:rPr>
          <w:rFonts w:ascii="Franklin Gothic Demi" w:hAnsi="Franklin Gothic Demi"/>
          <w:color w:val="00823B"/>
          <w:sz w:val="18"/>
          <w:szCs w:val="18"/>
        </w:rPr>
        <w:t xml:space="preserve">TELEPHONE NO: (679) </w:t>
      </w:r>
      <w:r>
        <w:rPr>
          <w:rFonts w:ascii="Franklin Gothic Demi" w:hAnsi="Franklin Gothic Demi"/>
          <w:color w:val="00823B"/>
          <w:sz w:val="18"/>
          <w:szCs w:val="18"/>
        </w:rPr>
        <w:t>3311-699</w:t>
      </w:r>
    </w:p>
    <w:p w14:paraId="0AFCC292" w14:textId="01F1BE86" w:rsidR="00DE2E17" w:rsidRPr="00757F2B" w:rsidRDefault="00DE2E17" w:rsidP="00DE2E17">
      <w:pPr>
        <w:pBdr>
          <w:bottom w:val="single" w:sz="12" w:space="0" w:color="auto"/>
        </w:pBdr>
        <w:spacing w:line="240" w:lineRule="auto"/>
        <w:jc w:val="left"/>
        <w:rPr>
          <w:rFonts w:ascii="Franklin Gothic Demi" w:hAnsi="Franklin Gothic Demi"/>
          <w:color w:val="00B050"/>
          <w:sz w:val="18"/>
          <w:szCs w:val="18"/>
        </w:rPr>
      </w:pPr>
      <w:r w:rsidRPr="00615626">
        <w:rPr>
          <w:rFonts w:ascii="Franklin Gothic Demi" w:hAnsi="Franklin Gothic Demi"/>
          <w:color w:val="00823B"/>
          <w:sz w:val="18"/>
          <w:szCs w:val="18"/>
        </w:rPr>
        <w:t xml:space="preserve">             </w:t>
      </w:r>
      <w:r w:rsidR="00A545A5">
        <w:rPr>
          <w:rFonts w:ascii="Franklin Gothic Demi" w:hAnsi="Franklin Gothic Demi"/>
          <w:color w:val="00823B"/>
          <w:sz w:val="18"/>
          <w:szCs w:val="18"/>
        </w:rPr>
        <w:tab/>
      </w:r>
      <w:r w:rsidR="00A545A5">
        <w:rPr>
          <w:rFonts w:ascii="Franklin Gothic Demi" w:hAnsi="Franklin Gothic Demi"/>
          <w:color w:val="00823B"/>
          <w:sz w:val="18"/>
          <w:szCs w:val="18"/>
        </w:rPr>
        <w:tab/>
      </w:r>
      <w:r w:rsidR="00A545A5">
        <w:rPr>
          <w:rFonts w:ascii="Franklin Gothic Demi" w:hAnsi="Franklin Gothic Demi"/>
          <w:color w:val="00823B"/>
          <w:sz w:val="18"/>
          <w:szCs w:val="18"/>
        </w:rPr>
        <w:tab/>
        <w:t xml:space="preserve">  </w:t>
      </w:r>
      <w:r w:rsidR="00A545A5">
        <w:rPr>
          <w:rFonts w:ascii="Franklin Gothic Demi" w:hAnsi="Franklin Gothic Demi"/>
          <w:color w:val="00823B"/>
          <w:sz w:val="18"/>
          <w:szCs w:val="18"/>
        </w:rPr>
        <w:tab/>
        <w:t xml:space="preserve">           </w:t>
      </w:r>
    </w:p>
    <w:p w14:paraId="1DC113E9" w14:textId="74F43B55" w:rsidR="00DE2E17" w:rsidRPr="00BB744C" w:rsidRDefault="00BB744C" w:rsidP="00BB744C">
      <w:pPr>
        <w:widowControl/>
        <w:spacing w:before="120" w:line="240" w:lineRule="auto"/>
        <w:jc w:val="center"/>
        <w:rPr>
          <w:rFonts w:ascii="Arial" w:eastAsia="Times New Roman" w:hAnsi="Arial" w:cs="Arial"/>
          <w:b/>
          <w:sz w:val="24"/>
          <w:szCs w:val="24"/>
          <w:lang w:val="en-AU"/>
        </w:rPr>
      </w:pPr>
      <w:r w:rsidRPr="00BB744C">
        <w:rPr>
          <w:rFonts w:ascii="Arial" w:eastAsia="Times New Roman" w:hAnsi="Arial" w:cs="Arial"/>
          <w:b/>
          <w:sz w:val="24"/>
          <w:szCs w:val="24"/>
          <w:lang w:val="en-AU"/>
        </w:rPr>
        <w:t>Terms of Reference</w:t>
      </w:r>
    </w:p>
    <w:p w14:paraId="1325A651" w14:textId="77777777" w:rsidR="00B578D7" w:rsidRDefault="00B578D7" w:rsidP="00B67F59">
      <w:pPr>
        <w:widowControl/>
        <w:snapToGrid w:val="0"/>
        <w:spacing w:line="240" w:lineRule="auto"/>
        <w:rPr>
          <w:rFonts w:ascii="Times New Roman" w:eastAsia="Times New Roman"/>
          <w:b/>
          <w:sz w:val="24"/>
          <w:szCs w:val="24"/>
        </w:rPr>
      </w:pPr>
    </w:p>
    <w:p w14:paraId="3C2A0B4F" w14:textId="4503309E" w:rsidR="00BB744C" w:rsidRPr="00BB744C" w:rsidRDefault="00BB744C" w:rsidP="00BB744C">
      <w:pPr>
        <w:widowControl/>
        <w:snapToGrid w:val="0"/>
        <w:spacing w:after="120" w:line="276" w:lineRule="auto"/>
        <w:rPr>
          <w:rFonts w:ascii="Arial" w:eastAsia="Times New Roman" w:hAnsi="Arial" w:cs="Arial"/>
          <w:szCs w:val="21"/>
        </w:rPr>
      </w:pPr>
      <w:r w:rsidRPr="00BB744C">
        <w:rPr>
          <w:rFonts w:ascii="Arial" w:eastAsia="Times New Roman" w:hAnsi="Arial" w:cs="Arial"/>
          <w:b/>
          <w:bCs/>
          <w:szCs w:val="21"/>
        </w:rPr>
        <w:t>Position Title:</w:t>
      </w:r>
      <w:r w:rsidRPr="00BB744C">
        <w:rPr>
          <w:rFonts w:ascii="Arial" w:eastAsia="Times New Roman" w:hAnsi="Arial" w:cs="Arial"/>
          <w:szCs w:val="21"/>
        </w:rPr>
        <w:t xml:space="preserve"> </w:t>
      </w:r>
      <w:r w:rsidR="008F0BE7">
        <w:rPr>
          <w:rFonts w:ascii="Arial" w:eastAsia="Times New Roman" w:hAnsi="Arial" w:cs="Arial"/>
          <w:szCs w:val="21"/>
        </w:rPr>
        <w:t>Adaptation and Mitigation</w:t>
      </w:r>
      <w:r w:rsidR="00971934">
        <w:rPr>
          <w:rFonts w:ascii="Arial" w:eastAsia="Times New Roman" w:hAnsi="Arial" w:cs="Arial"/>
          <w:szCs w:val="21"/>
        </w:rPr>
        <w:t xml:space="preserve"> Implementation Review Consultant - </w:t>
      </w:r>
      <w:r w:rsidRPr="00BB744C">
        <w:rPr>
          <w:rFonts w:ascii="Arial" w:eastAsia="Times New Roman" w:hAnsi="Arial" w:cs="Arial"/>
          <w:szCs w:val="21"/>
        </w:rPr>
        <w:t xml:space="preserve">Climate Change Act </w:t>
      </w:r>
      <w:r w:rsidR="00C36F22">
        <w:rPr>
          <w:rFonts w:ascii="Arial" w:eastAsia="Times New Roman" w:hAnsi="Arial" w:cs="Arial"/>
          <w:szCs w:val="21"/>
        </w:rPr>
        <w:t xml:space="preserve">2021, </w:t>
      </w:r>
      <w:r w:rsidRPr="00BB744C">
        <w:rPr>
          <w:rFonts w:ascii="Arial" w:eastAsia="Times New Roman" w:hAnsi="Arial" w:cs="Arial"/>
          <w:szCs w:val="21"/>
        </w:rPr>
        <w:t>Department of Climate Change</w:t>
      </w:r>
      <w:r w:rsidR="00071E28">
        <w:rPr>
          <w:rFonts w:ascii="Arial" w:eastAsia="Times New Roman" w:hAnsi="Arial" w:cs="Arial"/>
          <w:szCs w:val="21"/>
        </w:rPr>
        <w:t xml:space="preserve"> (</w:t>
      </w:r>
      <w:proofErr w:type="spellStart"/>
      <w:r w:rsidR="00071E28">
        <w:rPr>
          <w:rFonts w:ascii="Arial" w:eastAsia="Times New Roman" w:hAnsi="Arial" w:cs="Arial"/>
          <w:szCs w:val="21"/>
        </w:rPr>
        <w:t>DoCC</w:t>
      </w:r>
      <w:proofErr w:type="spellEnd"/>
      <w:r w:rsidR="00071E28">
        <w:rPr>
          <w:rFonts w:ascii="Arial" w:eastAsia="Times New Roman" w:hAnsi="Arial" w:cs="Arial"/>
          <w:szCs w:val="21"/>
        </w:rPr>
        <w:t>)</w:t>
      </w:r>
      <w:r w:rsidRPr="00BB744C">
        <w:rPr>
          <w:rFonts w:ascii="Arial" w:eastAsia="Times New Roman" w:hAnsi="Arial" w:cs="Arial"/>
          <w:szCs w:val="21"/>
        </w:rPr>
        <w:t>, Fiji</w:t>
      </w:r>
    </w:p>
    <w:p w14:paraId="3400B7C8" w14:textId="449063E9" w:rsidR="00BB744C" w:rsidRPr="00BB744C" w:rsidRDefault="00BB744C" w:rsidP="00BB744C">
      <w:pPr>
        <w:widowControl/>
        <w:snapToGrid w:val="0"/>
        <w:spacing w:after="120" w:line="276" w:lineRule="auto"/>
        <w:rPr>
          <w:rFonts w:ascii="Arial" w:eastAsia="Times New Roman" w:hAnsi="Arial" w:cs="Arial"/>
          <w:szCs w:val="21"/>
        </w:rPr>
      </w:pPr>
      <w:r w:rsidRPr="00BB744C">
        <w:rPr>
          <w:rFonts w:ascii="Arial" w:eastAsia="Times New Roman" w:hAnsi="Arial" w:cs="Arial"/>
          <w:b/>
          <w:bCs/>
          <w:szCs w:val="21"/>
        </w:rPr>
        <w:t>Reports To:</w:t>
      </w:r>
      <w:r w:rsidRPr="00BB744C">
        <w:rPr>
          <w:rFonts w:ascii="Arial" w:eastAsia="Times New Roman" w:hAnsi="Arial" w:cs="Arial"/>
          <w:szCs w:val="21"/>
        </w:rPr>
        <w:t xml:space="preserve"> The Director, Department of Climate Change, Ministry of Environment and Climate Change</w:t>
      </w:r>
    </w:p>
    <w:p w14:paraId="1A974495" w14:textId="5B8B124C" w:rsidR="00BB744C" w:rsidRPr="00BB744C" w:rsidRDefault="00BB744C" w:rsidP="00BB744C">
      <w:pPr>
        <w:widowControl/>
        <w:snapToGrid w:val="0"/>
        <w:spacing w:after="120" w:line="276" w:lineRule="auto"/>
        <w:rPr>
          <w:rFonts w:ascii="Arial" w:eastAsia="Times New Roman" w:hAnsi="Arial" w:cs="Arial"/>
          <w:szCs w:val="21"/>
        </w:rPr>
      </w:pPr>
      <w:r w:rsidRPr="00BB744C">
        <w:rPr>
          <w:rFonts w:ascii="Arial" w:eastAsia="Times New Roman" w:hAnsi="Arial" w:cs="Arial"/>
          <w:b/>
          <w:bCs/>
          <w:szCs w:val="21"/>
        </w:rPr>
        <w:t>Location:</w:t>
      </w:r>
      <w:r w:rsidRPr="00BB744C">
        <w:rPr>
          <w:rFonts w:ascii="Arial" w:eastAsia="Times New Roman" w:hAnsi="Arial" w:cs="Arial"/>
          <w:szCs w:val="21"/>
        </w:rPr>
        <w:t xml:space="preserve"> Department of Climate Change, Ministry of Environment and Climate Change, Suva, Fiji</w:t>
      </w:r>
    </w:p>
    <w:p w14:paraId="382EC233" w14:textId="4DA7F6AE" w:rsidR="00BB744C" w:rsidRPr="00BB744C" w:rsidRDefault="00BB744C" w:rsidP="00BB744C">
      <w:pPr>
        <w:widowControl/>
        <w:snapToGrid w:val="0"/>
        <w:spacing w:line="276" w:lineRule="auto"/>
        <w:contextualSpacing/>
        <w:rPr>
          <w:rFonts w:ascii="Arial" w:eastAsia="Times New Roman" w:hAnsi="Arial" w:cs="Arial"/>
          <w:szCs w:val="21"/>
        </w:rPr>
      </w:pPr>
      <w:r w:rsidRPr="00BB744C">
        <w:rPr>
          <w:rFonts w:ascii="Arial" w:eastAsia="Times New Roman" w:hAnsi="Arial" w:cs="Arial"/>
          <w:b/>
          <w:bCs/>
          <w:szCs w:val="21"/>
        </w:rPr>
        <w:t>Area of Specialization/Thematic Areas:</w:t>
      </w:r>
      <w:r w:rsidRPr="00BB744C">
        <w:rPr>
          <w:rFonts w:ascii="Arial" w:eastAsia="Times New Roman" w:hAnsi="Arial" w:cs="Arial"/>
          <w:szCs w:val="21"/>
        </w:rPr>
        <w:t xml:space="preserve"> Climate Change Policy Implementation and Review, Climate Change Act 2021</w:t>
      </w:r>
      <w:r w:rsidR="00F64AFD">
        <w:rPr>
          <w:rFonts w:ascii="Arial" w:eastAsia="Times New Roman" w:hAnsi="Arial" w:cs="Arial"/>
          <w:szCs w:val="21"/>
        </w:rPr>
        <w:t>, Adaptation, Mitigation,</w:t>
      </w:r>
      <w:r w:rsidR="00F64AFD" w:rsidRPr="00F64AFD">
        <w:rPr>
          <w:rFonts w:ascii="Arial" w:eastAsia="Times New Roman" w:hAnsi="Arial" w:cs="Arial"/>
          <w:szCs w:val="21"/>
        </w:rPr>
        <w:t xml:space="preserve"> </w:t>
      </w:r>
      <w:r w:rsidR="00F64AFD">
        <w:rPr>
          <w:rFonts w:ascii="Arial" w:eastAsia="Times New Roman" w:hAnsi="Arial" w:cs="Arial"/>
          <w:szCs w:val="21"/>
        </w:rPr>
        <w:t>Performance Indicators,</w:t>
      </w:r>
    </w:p>
    <w:p w14:paraId="74DCEF99" w14:textId="77777777" w:rsidR="00BB744C" w:rsidRPr="00BB744C" w:rsidRDefault="00B25DB5" w:rsidP="00BB744C">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55BD9EF3">
          <v:rect id="_x0000_i1031" alt="" style="width:451.3pt;height:.05pt;mso-width-percent:0;mso-height-percent:0;mso-width-percent:0;mso-height-percent:0" o:hralign="center" o:hrstd="t" o:hr="t" fillcolor="#a0a0a0" stroked="f"/>
        </w:pict>
      </w:r>
    </w:p>
    <w:p w14:paraId="5AE0AEF3" w14:textId="77777777" w:rsidR="00BB744C" w:rsidRPr="00BB744C" w:rsidRDefault="00BB744C" w:rsidP="00BB744C">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Overview</w:t>
      </w:r>
    </w:p>
    <w:p w14:paraId="344A114E" w14:textId="7BE676AE" w:rsidR="0024651C" w:rsidRPr="0024651C" w:rsidRDefault="00BB744C" w:rsidP="0024651C">
      <w:pPr>
        <w:widowControl/>
        <w:snapToGrid w:val="0"/>
        <w:spacing w:line="276" w:lineRule="auto"/>
        <w:contextualSpacing/>
        <w:rPr>
          <w:rFonts w:ascii="Arial" w:eastAsia="Times New Roman" w:hAnsi="Arial" w:cs="Arial"/>
          <w:szCs w:val="21"/>
        </w:rPr>
      </w:pPr>
      <w:r w:rsidRPr="00BB744C">
        <w:rPr>
          <w:rFonts w:ascii="Arial" w:eastAsia="Times New Roman" w:hAnsi="Arial" w:cs="Arial"/>
          <w:szCs w:val="21"/>
        </w:rPr>
        <w:t>Fiji’s Climate Change Act 2021 (</w:t>
      </w:r>
      <w:r w:rsidR="00071E28">
        <w:rPr>
          <w:rFonts w:ascii="Arial" w:eastAsia="Times New Roman" w:hAnsi="Arial" w:cs="Arial"/>
          <w:szCs w:val="21"/>
        </w:rPr>
        <w:t>CCA</w:t>
      </w:r>
      <w:r w:rsidRPr="00BB744C">
        <w:rPr>
          <w:rFonts w:ascii="Arial" w:eastAsia="Times New Roman" w:hAnsi="Arial" w:cs="Arial"/>
          <w:szCs w:val="21"/>
        </w:rPr>
        <w:t xml:space="preserve">) </w:t>
      </w:r>
      <w:r w:rsidR="002E7387">
        <w:rPr>
          <w:rFonts w:ascii="Arial" w:eastAsia="Times New Roman" w:hAnsi="Arial" w:cs="Arial"/>
          <w:szCs w:val="21"/>
        </w:rPr>
        <w:t>sets out</w:t>
      </w:r>
      <w:r w:rsidRPr="00BB744C">
        <w:rPr>
          <w:rFonts w:ascii="Arial" w:eastAsia="Times New Roman" w:hAnsi="Arial" w:cs="Arial"/>
          <w:szCs w:val="21"/>
        </w:rPr>
        <w:t xml:space="preserve"> a comprehensive legal framework for Fiji’s response to climate change, providing for regulation and governance and introducing a system for measuring, reporting and verifying greenhouse gas emissions. </w:t>
      </w:r>
      <w:r w:rsidR="0024651C">
        <w:rPr>
          <w:rFonts w:ascii="Arial" w:eastAsia="Times New Roman" w:hAnsi="Arial" w:cs="Arial"/>
          <w:szCs w:val="21"/>
        </w:rPr>
        <w:t>Section 10 of the</w:t>
      </w:r>
      <w:r w:rsidRPr="00BB744C">
        <w:rPr>
          <w:rFonts w:ascii="Arial" w:eastAsia="Times New Roman" w:hAnsi="Arial" w:cs="Arial"/>
          <w:szCs w:val="21"/>
        </w:rPr>
        <w:t xml:space="preserve"> </w:t>
      </w:r>
      <w:r w:rsidR="00C36F22">
        <w:rPr>
          <w:rFonts w:ascii="Arial" w:eastAsia="Times New Roman" w:hAnsi="Arial" w:cs="Arial"/>
          <w:szCs w:val="21"/>
        </w:rPr>
        <w:t>CCA</w:t>
      </w:r>
      <w:r w:rsidRPr="00BB744C">
        <w:rPr>
          <w:rFonts w:ascii="Arial" w:eastAsia="Times New Roman" w:hAnsi="Arial" w:cs="Arial"/>
          <w:szCs w:val="21"/>
        </w:rPr>
        <w:t xml:space="preserve"> requires the Minister must review its implementation every 5 years, including with regard to progress made towards achieving the objectives and principles of the </w:t>
      </w:r>
      <w:r w:rsidR="00C36F22">
        <w:rPr>
          <w:rFonts w:ascii="Arial" w:eastAsia="Times New Roman" w:hAnsi="Arial" w:cs="Arial"/>
          <w:szCs w:val="21"/>
        </w:rPr>
        <w:t>CCA</w:t>
      </w:r>
      <w:r w:rsidR="00FC678C">
        <w:rPr>
          <w:rFonts w:ascii="Arial" w:eastAsia="Times New Roman" w:hAnsi="Arial" w:cs="Arial"/>
          <w:szCs w:val="21"/>
        </w:rPr>
        <w:t>,</w:t>
      </w:r>
      <w:r w:rsidRPr="00BB744C">
        <w:rPr>
          <w:rFonts w:ascii="Arial" w:eastAsia="Times New Roman" w:hAnsi="Arial" w:cs="Arial"/>
          <w:szCs w:val="21"/>
        </w:rPr>
        <w:t xml:space="preserve"> and report to Parliament on the findings of the review. </w:t>
      </w:r>
      <w:r w:rsidR="0024651C">
        <w:rPr>
          <w:rFonts w:ascii="Arial" w:eastAsia="Times New Roman" w:hAnsi="Arial" w:cs="Arial"/>
          <w:szCs w:val="21"/>
        </w:rPr>
        <w:t>T</w:t>
      </w:r>
      <w:r w:rsidR="0024651C" w:rsidRPr="0024651C">
        <w:rPr>
          <w:rFonts w:ascii="Arial" w:eastAsia="Times New Roman" w:hAnsi="Arial" w:cs="Arial"/>
          <w:szCs w:val="21"/>
        </w:rPr>
        <w:t>he Minister must establish effectiveness and performance indicators that are</w:t>
      </w:r>
      <w:r w:rsidR="00C36F22">
        <w:rPr>
          <w:rFonts w:ascii="Arial" w:eastAsia="Times New Roman" w:hAnsi="Arial" w:cs="Arial"/>
          <w:szCs w:val="21"/>
        </w:rPr>
        <w:t xml:space="preserve"> </w:t>
      </w:r>
      <w:r w:rsidR="0024651C" w:rsidRPr="0024651C">
        <w:rPr>
          <w:rFonts w:ascii="Arial" w:eastAsia="Times New Roman" w:hAnsi="Arial" w:cs="Arial"/>
          <w:szCs w:val="21"/>
        </w:rPr>
        <w:t>gender, age and disability sensitive and, where possible, disaggregated to facilitate the</w:t>
      </w:r>
      <w:r w:rsidR="00C36F22">
        <w:rPr>
          <w:rFonts w:ascii="Arial" w:eastAsia="Times New Roman" w:hAnsi="Arial" w:cs="Arial"/>
          <w:szCs w:val="21"/>
        </w:rPr>
        <w:t xml:space="preserve"> </w:t>
      </w:r>
      <w:r w:rsidR="0024651C" w:rsidRPr="0024651C">
        <w:rPr>
          <w:rFonts w:ascii="Arial" w:eastAsia="Times New Roman" w:hAnsi="Arial" w:cs="Arial"/>
          <w:szCs w:val="21"/>
        </w:rPr>
        <w:t xml:space="preserve">evaluation of the results of the implementation of this </w:t>
      </w:r>
      <w:r w:rsidR="00C36F22">
        <w:rPr>
          <w:rFonts w:ascii="Arial" w:eastAsia="Times New Roman" w:hAnsi="Arial" w:cs="Arial"/>
          <w:szCs w:val="21"/>
        </w:rPr>
        <w:t>CCA</w:t>
      </w:r>
      <w:r w:rsidR="0024651C" w:rsidRPr="0024651C">
        <w:rPr>
          <w:rFonts w:ascii="Arial" w:eastAsia="Times New Roman" w:hAnsi="Arial" w:cs="Arial"/>
          <w:szCs w:val="21"/>
        </w:rPr>
        <w:t>.</w:t>
      </w:r>
    </w:p>
    <w:p w14:paraId="4FAA6BA2" w14:textId="77777777" w:rsidR="0024651C" w:rsidRDefault="0024651C" w:rsidP="00BB744C">
      <w:pPr>
        <w:widowControl/>
        <w:snapToGrid w:val="0"/>
        <w:spacing w:line="276" w:lineRule="auto"/>
        <w:contextualSpacing/>
        <w:rPr>
          <w:rFonts w:ascii="Arial" w:eastAsia="Times New Roman" w:hAnsi="Arial" w:cs="Arial"/>
          <w:szCs w:val="21"/>
        </w:rPr>
      </w:pPr>
    </w:p>
    <w:p w14:paraId="5C23BD95" w14:textId="044D8542" w:rsidR="00BB744C" w:rsidRPr="00BB744C" w:rsidRDefault="00BB744C" w:rsidP="00BB744C">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General objective of the contract</w:t>
      </w:r>
    </w:p>
    <w:p w14:paraId="622CE128" w14:textId="47634D6D" w:rsidR="00BB744C" w:rsidRPr="00BB744C" w:rsidRDefault="00BB744C" w:rsidP="0024651C">
      <w:pPr>
        <w:widowControl/>
        <w:snapToGrid w:val="0"/>
        <w:spacing w:line="276" w:lineRule="auto"/>
        <w:contextualSpacing/>
        <w:rPr>
          <w:rFonts w:ascii="Arial" w:eastAsia="Times New Roman" w:hAnsi="Arial" w:cs="Arial"/>
          <w:szCs w:val="21"/>
        </w:rPr>
      </w:pPr>
      <w:r w:rsidRPr="00BB744C">
        <w:rPr>
          <w:rFonts w:ascii="Arial" w:eastAsia="Times New Roman" w:hAnsi="Arial" w:cs="Arial"/>
          <w:szCs w:val="21"/>
        </w:rPr>
        <w:t xml:space="preserve">The overall objective is for the consultant to </w:t>
      </w:r>
      <w:r w:rsidR="00A15971">
        <w:rPr>
          <w:rFonts w:ascii="Arial" w:eastAsia="Times New Roman" w:hAnsi="Arial" w:cs="Arial"/>
          <w:szCs w:val="21"/>
        </w:rPr>
        <w:t xml:space="preserve">support the </w:t>
      </w:r>
      <w:r w:rsidRPr="00BB744C">
        <w:rPr>
          <w:rFonts w:ascii="Arial" w:eastAsia="Times New Roman" w:hAnsi="Arial" w:cs="Arial"/>
          <w:szCs w:val="21"/>
        </w:rPr>
        <w:t>develop</w:t>
      </w:r>
      <w:r w:rsidR="00A15971">
        <w:rPr>
          <w:rFonts w:ascii="Arial" w:eastAsia="Times New Roman" w:hAnsi="Arial" w:cs="Arial"/>
          <w:szCs w:val="21"/>
        </w:rPr>
        <w:t>ment of</w:t>
      </w:r>
      <w:r w:rsidRPr="00BB744C">
        <w:rPr>
          <w:rFonts w:ascii="Arial" w:eastAsia="Times New Roman" w:hAnsi="Arial" w:cs="Arial"/>
          <w:szCs w:val="21"/>
        </w:rPr>
        <w:t xml:space="preserve"> a</w:t>
      </w:r>
      <w:r w:rsidR="0024651C">
        <w:rPr>
          <w:rFonts w:ascii="Arial" w:eastAsia="Times New Roman" w:hAnsi="Arial" w:cs="Arial"/>
          <w:szCs w:val="21"/>
        </w:rPr>
        <w:t xml:space="preserve"> </w:t>
      </w:r>
      <w:r w:rsidRPr="00BB744C">
        <w:rPr>
          <w:rFonts w:ascii="Arial" w:eastAsia="Times New Roman" w:hAnsi="Arial" w:cs="Arial"/>
          <w:szCs w:val="21"/>
        </w:rPr>
        <w:t xml:space="preserve">framework for reviewing the implementation of the </w:t>
      </w:r>
      <w:r w:rsidR="00C36F22">
        <w:rPr>
          <w:rFonts w:ascii="Arial" w:eastAsia="Times New Roman" w:hAnsi="Arial" w:cs="Arial"/>
          <w:szCs w:val="21"/>
        </w:rPr>
        <w:t>CCA</w:t>
      </w:r>
      <w:r w:rsidR="002E7387">
        <w:rPr>
          <w:rFonts w:ascii="Arial" w:eastAsia="Times New Roman" w:hAnsi="Arial" w:cs="Arial"/>
          <w:szCs w:val="21"/>
        </w:rPr>
        <w:t>,</w:t>
      </w:r>
      <w:r w:rsidRPr="00BB744C">
        <w:rPr>
          <w:rFonts w:ascii="Arial" w:eastAsia="Times New Roman" w:hAnsi="Arial" w:cs="Arial"/>
          <w:szCs w:val="21"/>
        </w:rPr>
        <w:t xml:space="preserve"> </w:t>
      </w:r>
      <w:r w:rsidR="00A15971">
        <w:rPr>
          <w:rFonts w:ascii="Arial" w:eastAsia="Times New Roman" w:hAnsi="Arial" w:cs="Arial"/>
          <w:szCs w:val="21"/>
        </w:rPr>
        <w:t xml:space="preserve">by providing technical expertise on climate change mitigation and adaptation in Fiji, including in relation to the developing effectiveness and performance indicators to facilitate the evaluation of the results of the implementation of the </w:t>
      </w:r>
      <w:r w:rsidR="00C36F22">
        <w:rPr>
          <w:rFonts w:ascii="Arial" w:eastAsia="Times New Roman" w:hAnsi="Arial" w:cs="Arial"/>
          <w:szCs w:val="21"/>
        </w:rPr>
        <w:t>CCA</w:t>
      </w:r>
      <w:r w:rsidR="00A15971">
        <w:rPr>
          <w:rFonts w:ascii="Arial" w:eastAsia="Times New Roman" w:hAnsi="Arial" w:cs="Arial"/>
          <w:szCs w:val="21"/>
        </w:rPr>
        <w:t>.</w:t>
      </w:r>
    </w:p>
    <w:p w14:paraId="6EC6A82D" w14:textId="77777777" w:rsidR="00BB744C" w:rsidRPr="00BB744C" w:rsidRDefault="00B25DB5" w:rsidP="00BB744C">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7DF4EE4D">
          <v:rect id="_x0000_i1030" alt="" style="width:451.3pt;height:.05pt;mso-width-percent:0;mso-height-percent:0;mso-width-percent:0;mso-height-percent:0" o:hralign="center" o:hrstd="t" o:hr="t" fillcolor="#a0a0a0" stroked="f"/>
        </w:pict>
      </w:r>
    </w:p>
    <w:p w14:paraId="562EAEB9" w14:textId="65C4A66F" w:rsidR="00BB744C" w:rsidRPr="00BB744C" w:rsidRDefault="00BB744C" w:rsidP="00BB744C">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Responsibilities</w:t>
      </w:r>
      <w:r>
        <w:rPr>
          <w:rFonts w:ascii="Arial" w:eastAsia="Times New Roman" w:hAnsi="Arial" w:cs="Arial"/>
          <w:b/>
          <w:bCs/>
          <w:szCs w:val="21"/>
        </w:rPr>
        <w:t xml:space="preserve"> </w:t>
      </w:r>
      <w:r w:rsidRPr="00BB744C">
        <w:rPr>
          <w:rFonts w:ascii="Arial" w:eastAsia="Times New Roman" w:hAnsi="Arial" w:cs="Arial"/>
          <w:b/>
          <w:bCs/>
          <w:szCs w:val="21"/>
        </w:rPr>
        <w:t>/</w:t>
      </w:r>
      <w:r>
        <w:rPr>
          <w:rFonts w:ascii="Arial" w:eastAsia="Times New Roman" w:hAnsi="Arial" w:cs="Arial"/>
          <w:b/>
          <w:bCs/>
          <w:szCs w:val="21"/>
        </w:rPr>
        <w:t xml:space="preserve"> D</w:t>
      </w:r>
      <w:r w:rsidRPr="00BB744C">
        <w:rPr>
          <w:rFonts w:ascii="Arial" w:eastAsia="Times New Roman" w:hAnsi="Arial" w:cs="Arial"/>
          <w:b/>
          <w:bCs/>
          <w:szCs w:val="21"/>
        </w:rPr>
        <w:t>escription of professional services</w:t>
      </w:r>
    </w:p>
    <w:p w14:paraId="57F1CA18" w14:textId="3A7957E0" w:rsidR="00BB744C" w:rsidRPr="00BB744C" w:rsidRDefault="00BB744C" w:rsidP="00BB744C">
      <w:pPr>
        <w:widowControl/>
        <w:snapToGrid w:val="0"/>
        <w:spacing w:line="276" w:lineRule="auto"/>
        <w:contextualSpacing/>
        <w:rPr>
          <w:rFonts w:ascii="Arial" w:eastAsia="Times New Roman" w:hAnsi="Arial" w:cs="Arial"/>
          <w:szCs w:val="21"/>
        </w:rPr>
      </w:pPr>
      <w:r w:rsidRPr="00BB744C">
        <w:rPr>
          <w:rFonts w:ascii="Arial" w:eastAsia="Times New Roman" w:hAnsi="Arial" w:cs="Arial"/>
          <w:szCs w:val="21"/>
        </w:rPr>
        <w:t xml:space="preserve">The consultant will work closely with </w:t>
      </w:r>
      <w:r w:rsidR="00777414">
        <w:rPr>
          <w:rFonts w:ascii="Arial" w:eastAsia="Times New Roman" w:hAnsi="Arial" w:cs="Arial"/>
          <w:szCs w:val="21"/>
        </w:rPr>
        <w:t>the</w:t>
      </w:r>
      <w:r w:rsidRPr="00BB744C">
        <w:rPr>
          <w:rFonts w:ascii="Arial" w:eastAsia="Times New Roman" w:hAnsi="Arial" w:cs="Arial"/>
          <w:szCs w:val="21"/>
        </w:rPr>
        <w:t xml:space="preserve"> </w:t>
      </w:r>
      <w:r w:rsidR="002A51D5">
        <w:rPr>
          <w:rFonts w:ascii="Arial" w:eastAsia="Arial" w:hAnsi="Arial" w:cs="Arial"/>
        </w:rPr>
        <w:t>Monitoring and Evaluation Consultant</w:t>
      </w:r>
      <w:r w:rsidR="00FC678C">
        <w:rPr>
          <w:rFonts w:ascii="Arial" w:eastAsia="Arial" w:hAnsi="Arial" w:cs="Arial"/>
        </w:rPr>
        <w:t>,</w:t>
      </w:r>
      <w:r w:rsidR="002A51D5">
        <w:rPr>
          <w:rFonts w:ascii="Arial" w:eastAsia="Arial" w:hAnsi="Arial" w:cs="Arial"/>
        </w:rPr>
        <w:t xml:space="preserve"> </w:t>
      </w:r>
      <w:proofErr w:type="spellStart"/>
      <w:r w:rsidRPr="00BB744C">
        <w:rPr>
          <w:rFonts w:ascii="Arial" w:eastAsia="Times New Roman" w:hAnsi="Arial" w:cs="Arial"/>
          <w:szCs w:val="21"/>
        </w:rPr>
        <w:t>DoCC</w:t>
      </w:r>
      <w:proofErr w:type="spellEnd"/>
      <w:r w:rsidRPr="00BB744C">
        <w:rPr>
          <w:rFonts w:ascii="Arial" w:eastAsia="Times New Roman" w:hAnsi="Arial" w:cs="Arial"/>
          <w:szCs w:val="21"/>
        </w:rPr>
        <w:t>, line ministries, and key stakeholders to:</w:t>
      </w:r>
    </w:p>
    <w:p w14:paraId="71E2E138" w14:textId="5CF388E5" w:rsidR="00BB744C" w:rsidRPr="001B005A" w:rsidRDefault="001B005A" w:rsidP="001B005A">
      <w:pPr>
        <w:widowControl/>
        <w:numPr>
          <w:ilvl w:val="0"/>
          <w:numId w:val="6"/>
        </w:numPr>
        <w:snapToGrid w:val="0"/>
        <w:spacing w:line="276" w:lineRule="auto"/>
        <w:contextualSpacing/>
        <w:rPr>
          <w:rFonts w:ascii="Arial" w:eastAsia="Times New Roman" w:hAnsi="Arial" w:cs="Arial"/>
          <w:szCs w:val="21"/>
        </w:rPr>
      </w:pPr>
      <w:r>
        <w:rPr>
          <w:rFonts w:ascii="Arial" w:eastAsia="Times New Roman" w:hAnsi="Arial" w:cs="Arial"/>
          <w:szCs w:val="21"/>
        </w:rPr>
        <w:t xml:space="preserve">Provide technical advice on the </w:t>
      </w:r>
      <w:r w:rsidR="00FC678C">
        <w:rPr>
          <w:rFonts w:ascii="Arial" w:eastAsia="Times New Roman" w:hAnsi="Arial" w:cs="Arial"/>
          <w:szCs w:val="21"/>
        </w:rPr>
        <w:t>CCA</w:t>
      </w:r>
      <w:r>
        <w:rPr>
          <w:rFonts w:ascii="Arial" w:eastAsia="Times New Roman" w:hAnsi="Arial" w:cs="Arial"/>
          <w:szCs w:val="21"/>
        </w:rPr>
        <w:t>, including in relation to adaptation and mitigation to support the d</w:t>
      </w:r>
      <w:r w:rsidR="00BB744C" w:rsidRPr="00BB744C">
        <w:rPr>
          <w:rFonts w:ascii="Arial" w:eastAsia="Times New Roman" w:hAnsi="Arial" w:cs="Arial"/>
          <w:szCs w:val="21"/>
        </w:rPr>
        <w:t xml:space="preserve">esign and </w:t>
      </w:r>
      <w:proofErr w:type="spellStart"/>
      <w:r>
        <w:rPr>
          <w:rFonts w:ascii="Arial" w:eastAsia="Times New Roman" w:hAnsi="Arial" w:cs="Arial"/>
          <w:szCs w:val="21"/>
        </w:rPr>
        <w:t>operationali</w:t>
      </w:r>
      <w:r w:rsidR="00F64AFD">
        <w:rPr>
          <w:rFonts w:ascii="Arial" w:eastAsia="Times New Roman" w:hAnsi="Arial" w:cs="Arial"/>
          <w:szCs w:val="21"/>
        </w:rPr>
        <w:t>s</w:t>
      </w:r>
      <w:r>
        <w:rPr>
          <w:rFonts w:ascii="Arial" w:eastAsia="Times New Roman" w:hAnsi="Arial" w:cs="Arial"/>
          <w:szCs w:val="21"/>
        </w:rPr>
        <w:t>ation</w:t>
      </w:r>
      <w:proofErr w:type="spellEnd"/>
      <w:r>
        <w:rPr>
          <w:rFonts w:ascii="Arial" w:eastAsia="Times New Roman" w:hAnsi="Arial" w:cs="Arial"/>
          <w:szCs w:val="21"/>
        </w:rPr>
        <w:t xml:space="preserve"> of</w:t>
      </w:r>
      <w:r w:rsidR="00BB744C" w:rsidRPr="00BB744C">
        <w:rPr>
          <w:rFonts w:ascii="Arial" w:eastAsia="Times New Roman" w:hAnsi="Arial" w:cs="Arial"/>
          <w:szCs w:val="21"/>
        </w:rPr>
        <w:t xml:space="preserve"> framework for reviewing </w:t>
      </w:r>
      <w:r w:rsidR="002E7387">
        <w:rPr>
          <w:rFonts w:ascii="Arial" w:eastAsia="Times New Roman" w:hAnsi="Arial" w:cs="Arial"/>
          <w:szCs w:val="21"/>
        </w:rPr>
        <w:t xml:space="preserve">the </w:t>
      </w:r>
      <w:r w:rsidR="00BB744C" w:rsidRPr="00BB744C">
        <w:rPr>
          <w:rFonts w:ascii="Arial" w:eastAsia="Times New Roman" w:hAnsi="Arial" w:cs="Arial"/>
          <w:szCs w:val="21"/>
        </w:rPr>
        <w:t xml:space="preserve">implementation of the </w:t>
      </w:r>
      <w:r w:rsidR="00FC678C">
        <w:rPr>
          <w:rFonts w:ascii="Arial" w:eastAsia="Times New Roman" w:hAnsi="Arial" w:cs="Arial"/>
          <w:szCs w:val="21"/>
        </w:rPr>
        <w:t>CCA</w:t>
      </w:r>
      <w:r w:rsidR="0024651C">
        <w:rPr>
          <w:rFonts w:ascii="Arial" w:eastAsia="Times New Roman" w:hAnsi="Arial" w:cs="Arial"/>
          <w:szCs w:val="21"/>
        </w:rPr>
        <w:t xml:space="preserve"> that is</w:t>
      </w:r>
      <w:r w:rsidR="00BB744C" w:rsidRPr="00BB744C">
        <w:rPr>
          <w:rFonts w:ascii="Arial" w:eastAsia="Times New Roman" w:hAnsi="Arial" w:cs="Arial"/>
          <w:szCs w:val="21"/>
        </w:rPr>
        <w:t xml:space="preserve"> integrated into </w:t>
      </w:r>
      <w:r>
        <w:rPr>
          <w:rFonts w:ascii="Arial" w:eastAsia="Times New Roman" w:hAnsi="Arial" w:cs="Arial"/>
          <w:szCs w:val="21"/>
        </w:rPr>
        <w:t xml:space="preserve">national and international </w:t>
      </w:r>
      <w:r w:rsidRPr="00BB744C">
        <w:rPr>
          <w:rFonts w:ascii="Arial" w:eastAsia="Times New Roman" w:hAnsi="Arial" w:cs="Arial"/>
          <w:szCs w:val="21"/>
        </w:rPr>
        <w:t>reporting frameworks</w:t>
      </w:r>
      <w:r>
        <w:rPr>
          <w:rFonts w:ascii="Arial" w:eastAsia="Times New Roman" w:hAnsi="Arial" w:cs="Arial"/>
          <w:szCs w:val="21"/>
        </w:rPr>
        <w:t>, and</w:t>
      </w:r>
      <w:r w:rsidRPr="00726CE9">
        <w:rPr>
          <w:rFonts w:ascii="Arial" w:eastAsia="Times New Roman" w:hAnsi="Arial" w:cs="Arial"/>
          <w:szCs w:val="21"/>
        </w:rPr>
        <w:t xml:space="preserve"> </w:t>
      </w:r>
      <w:r>
        <w:rPr>
          <w:rFonts w:ascii="Arial" w:eastAsia="Times New Roman" w:hAnsi="Arial" w:cs="Arial"/>
          <w:szCs w:val="21"/>
        </w:rPr>
        <w:t xml:space="preserve">aligned with section 27(7) of the </w:t>
      </w:r>
      <w:r w:rsidR="00FC678C">
        <w:rPr>
          <w:rFonts w:ascii="Arial" w:eastAsia="Times New Roman" w:hAnsi="Arial" w:cs="Arial"/>
          <w:szCs w:val="21"/>
        </w:rPr>
        <w:t>CCA</w:t>
      </w:r>
      <w:r>
        <w:rPr>
          <w:rFonts w:ascii="Arial" w:eastAsia="Times New Roman" w:hAnsi="Arial" w:cs="Arial"/>
          <w:szCs w:val="21"/>
        </w:rPr>
        <w:t xml:space="preserve"> to monitor and evaluate the National Climate Change Policy.</w:t>
      </w:r>
    </w:p>
    <w:p w14:paraId="27E70DC4" w14:textId="5BAE552A" w:rsidR="00BB744C" w:rsidRPr="00BB744C" w:rsidRDefault="001B005A" w:rsidP="00BB744C">
      <w:pPr>
        <w:widowControl/>
        <w:numPr>
          <w:ilvl w:val="0"/>
          <w:numId w:val="5"/>
        </w:numPr>
        <w:snapToGrid w:val="0"/>
        <w:spacing w:line="276" w:lineRule="auto"/>
        <w:contextualSpacing/>
        <w:rPr>
          <w:rFonts w:ascii="Arial" w:eastAsia="Times New Roman" w:hAnsi="Arial" w:cs="Arial"/>
          <w:szCs w:val="21"/>
        </w:rPr>
      </w:pPr>
      <w:r>
        <w:rPr>
          <w:rFonts w:ascii="Arial" w:eastAsia="Times New Roman" w:hAnsi="Arial" w:cs="Arial"/>
          <w:szCs w:val="21"/>
        </w:rPr>
        <w:t>Support the d</w:t>
      </w:r>
      <w:r w:rsidR="00BB744C" w:rsidRPr="00BB744C">
        <w:rPr>
          <w:rFonts w:ascii="Arial" w:eastAsia="Times New Roman" w:hAnsi="Arial" w:cs="Arial"/>
          <w:szCs w:val="21"/>
        </w:rPr>
        <w:t>evelop</w:t>
      </w:r>
      <w:r>
        <w:rPr>
          <w:rFonts w:ascii="Arial" w:eastAsia="Times New Roman" w:hAnsi="Arial" w:cs="Arial"/>
          <w:szCs w:val="21"/>
        </w:rPr>
        <w:t>ment of</w:t>
      </w:r>
      <w:r w:rsidR="00BB744C" w:rsidRPr="00BB744C">
        <w:rPr>
          <w:rFonts w:ascii="Arial" w:eastAsia="Times New Roman" w:hAnsi="Arial" w:cs="Arial"/>
          <w:szCs w:val="21"/>
        </w:rPr>
        <w:t xml:space="preserve"> robust performance and effectiveness indicators that are gender, age and disability sensitive and, where possible, disaggregated to facilitate the evaluation of the results of the implementation of </w:t>
      </w:r>
      <w:r w:rsidR="002E7387">
        <w:rPr>
          <w:rFonts w:ascii="Arial" w:eastAsia="Times New Roman" w:hAnsi="Arial" w:cs="Arial"/>
          <w:szCs w:val="21"/>
        </w:rPr>
        <w:t>the</w:t>
      </w:r>
      <w:r w:rsidR="00BB744C" w:rsidRPr="00BB744C">
        <w:rPr>
          <w:rFonts w:ascii="Arial" w:eastAsia="Times New Roman" w:hAnsi="Arial" w:cs="Arial"/>
          <w:szCs w:val="21"/>
        </w:rPr>
        <w:t xml:space="preserve"> </w:t>
      </w:r>
      <w:r w:rsidR="00FC678C">
        <w:rPr>
          <w:rFonts w:ascii="Arial" w:eastAsia="Times New Roman" w:hAnsi="Arial" w:cs="Arial"/>
          <w:szCs w:val="21"/>
        </w:rPr>
        <w:t>CCA</w:t>
      </w:r>
      <w:r w:rsidR="00BB744C" w:rsidRPr="00BB744C">
        <w:rPr>
          <w:rFonts w:ascii="Arial" w:eastAsia="Times New Roman" w:hAnsi="Arial" w:cs="Arial"/>
          <w:szCs w:val="21"/>
        </w:rPr>
        <w:t>.</w:t>
      </w:r>
    </w:p>
    <w:p w14:paraId="6607EBBF" w14:textId="2C977963" w:rsidR="00BB744C" w:rsidRPr="00BB744C" w:rsidRDefault="00BB744C" w:rsidP="00BB744C">
      <w:pPr>
        <w:widowControl/>
        <w:numPr>
          <w:ilvl w:val="0"/>
          <w:numId w:val="5"/>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 xml:space="preserve">Support the </w:t>
      </w:r>
      <w:proofErr w:type="spellStart"/>
      <w:r w:rsidRPr="00BB744C">
        <w:rPr>
          <w:rFonts w:ascii="Arial" w:eastAsia="Times New Roman" w:hAnsi="Arial" w:cs="Arial"/>
          <w:szCs w:val="21"/>
        </w:rPr>
        <w:t>institutionalisation</w:t>
      </w:r>
      <w:proofErr w:type="spellEnd"/>
      <w:r w:rsidRPr="00BB744C">
        <w:rPr>
          <w:rFonts w:ascii="Arial" w:eastAsia="Times New Roman" w:hAnsi="Arial" w:cs="Arial"/>
          <w:szCs w:val="21"/>
        </w:rPr>
        <w:t xml:space="preserve"> of monitoring, evaluation, and learning processes across government and </w:t>
      </w:r>
      <w:r w:rsidR="002E7387">
        <w:rPr>
          <w:rFonts w:ascii="Arial" w:eastAsia="Times New Roman" w:hAnsi="Arial" w:cs="Arial"/>
          <w:szCs w:val="21"/>
        </w:rPr>
        <w:t xml:space="preserve">stakeholders in relation to the </w:t>
      </w:r>
      <w:r w:rsidR="00FC678C">
        <w:rPr>
          <w:rFonts w:ascii="Arial" w:eastAsia="Times New Roman" w:hAnsi="Arial" w:cs="Arial"/>
          <w:szCs w:val="21"/>
        </w:rPr>
        <w:t>CCA</w:t>
      </w:r>
      <w:r w:rsidRPr="00BB744C">
        <w:rPr>
          <w:rFonts w:ascii="Arial" w:eastAsia="Times New Roman" w:hAnsi="Arial" w:cs="Arial"/>
          <w:szCs w:val="21"/>
        </w:rPr>
        <w:t>.</w:t>
      </w:r>
    </w:p>
    <w:p w14:paraId="6DDDF7B1" w14:textId="77777777" w:rsidR="00BB744C" w:rsidRPr="00BB744C" w:rsidRDefault="00B25DB5" w:rsidP="00BB744C">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5F4B54E0">
          <v:rect id="_x0000_i1029" alt="" style="width:451.3pt;height:.05pt;mso-width-percent:0;mso-height-percent:0;mso-width-percent:0;mso-height-percent:0" o:hralign="center" o:hrstd="t" o:hr="t" fillcolor="#a0a0a0" stroked="f"/>
        </w:pict>
      </w:r>
    </w:p>
    <w:p w14:paraId="77743CC8" w14:textId="77777777" w:rsidR="00BB744C" w:rsidRPr="00BB744C" w:rsidRDefault="00BB744C" w:rsidP="00BB744C">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Measurable deliverables</w:t>
      </w:r>
    </w:p>
    <w:p w14:paraId="18B5D160" w14:textId="5560ACE8" w:rsidR="00FC678C" w:rsidRDefault="00FC678C" w:rsidP="00FC678C">
      <w:pPr>
        <w:widowControl/>
        <w:numPr>
          <w:ilvl w:val="0"/>
          <w:numId w:val="6"/>
        </w:numPr>
        <w:spacing w:line="276" w:lineRule="auto"/>
        <w:jc w:val="left"/>
        <w:rPr>
          <w:rFonts w:ascii="Arial" w:eastAsia="Arial" w:hAnsi="Arial" w:cs="Arial"/>
        </w:rPr>
      </w:pPr>
      <w:r>
        <w:rPr>
          <w:rFonts w:ascii="Arial" w:eastAsia="Arial" w:hAnsi="Arial" w:cs="Arial"/>
          <w:sz w:val="22"/>
          <w:szCs w:val="22"/>
        </w:rPr>
        <w:lastRenderedPageBreak/>
        <w:t>Draft a workplan</w:t>
      </w:r>
      <w:r w:rsidR="00676678">
        <w:rPr>
          <w:rFonts w:ascii="Arial" w:eastAsia="Arial" w:hAnsi="Arial" w:cs="Arial"/>
          <w:sz w:val="22"/>
          <w:szCs w:val="22"/>
        </w:rPr>
        <w:t xml:space="preserve">, in collaboration with </w:t>
      </w:r>
      <w:r w:rsidR="00676678">
        <w:rPr>
          <w:rFonts w:ascii="Arial" w:eastAsia="Arial" w:hAnsi="Arial" w:cs="Arial"/>
        </w:rPr>
        <w:t xml:space="preserve">the </w:t>
      </w:r>
      <w:r w:rsidR="00676678" w:rsidRPr="00FC678C">
        <w:rPr>
          <w:rFonts w:ascii="Arial" w:eastAsia="Arial" w:hAnsi="Arial" w:cs="Arial"/>
        </w:rPr>
        <w:t>Monitoring and Evaluation Consultant</w:t>
      </w:r>
      <w:r w:rsidR="00676678">
        <w:rPr>
          <w:rFonts w:ascii="Arial" w:eastAsia="Arial" w:hAnsi="Arial" w:cs="Arial"/>
          <w:sz w:val="22"/>
          <w:szCs w:val="22"/>
        </w:rPr>
        <w:t xml:space="preserve">, </w:t>
      </w:r>
      <w:r>
        <w:rPr>
          <w:rFonts w:ascii="Arial" w:eastAsia="Arial" w:hAnsi="Arial" w:cs="Arial"/>
          <w:sz w:val="22"/>
          <w:szCs w:val="22"/>
        </w:rPr>
        <w:t xml:space="preserve">with timelines for completing the deliverables, to be approved by the Permanent Secretary, Ministry of Environment and Climate Change. </w:t>
      </w:r>
    </w:p>
    <w:p w14:paraId="3B9A9B49" w14:textId="3A32123A" w:rsidR="00FC678C" w:rsidRPr="00777414" w:rsidRDefault="00FC678C" w:rsidP="00FC678C">
      <w:pPr>
        <w:widowControl/>
        <w:numPr>
          <w:ilvl w:val="0"/>
          <w:numId w:val="6"/>
        </w:numPr>
        <w:spacing w:line="276" w:lineRule="auto"/>
        <w:jc w:val="left"/>
        <w:rPr>
          <w:rFonts w:ascii="Arial" w:eastAsia="Arial" w:hAnsi="Arial" w:cs="Arial"/>
          <w:sz w:val="22"/>
          <w:szCs w:val="22"/>
        </w:rPr>
      </w:pPr>
      <w:r>
        <w:rPr>
          <w:rFonts w:ascii="Arial" w:eastAsia="Arial" w:hAnsi="Arial" w:cs="Arial"/>
          <w:sz w:val="22"/>
          <w:szCs w:val="22"/>
        </w:rPr>
        <w:t xml:space="preserve">Provide technical advice on adaptation and mitigation to include in a </w:t>
      </w:r>
      <w:r>
        <w:rPr>
          <w:rFonts w:ascii="Arial" w:eastAsia="Arial" w:hAnsi="Arial" w:cs="Arial"/>
        </w:rPr>
        <w:t xml:space="preserve">framework for evaluating the effectiveness and performance of the CCA to </w:t>
      </w:r>
      <w:r w:rsidR="00777414">
        <w:rPr>
          <w:rFonts w:ascii="Arial" w:eastAsia="Arial" w:hAnsi="Arial" w:cs="Arial"/>
        </w:rPr>
        <w:t>the</w:t>
      </w:r>
      <w:r>
        <w:rPr>
          <w:rFonts w:ascii="Arial" w:eastAsia="Arial" w:hAnsi="Arial" w:cs="Arial"/>
        </w:rPr>
        <w:t xml:space="preserve"> </w:t>
      </w:r>
      <w:r w:rsidRPr="00FC678C">
        <w:rPr>
          <w:rFonts w:ascii="Arial" w:eastAsia="Arial" w:hAnsi="Arial" w:cs="Arial"/>
        </w:rPr>
        <w:t>Monitoring and Evaluation Consultant</w:t>
      </w:r>
      <w:r>
        <w:rPr>
          <w:rFonts w:ascii="Arial" w:eastAsia="Arial" w:hAnsi="Arial" w:cs="Arial"/>
        </w:rPr>
        <w:t>.</w:t>
      </w:r>
    </w:p>
    <w:p w14:paraId="4DA402E7" w14:textId="3DC60580" w:rsidR="00777414" w:rsidRPr="00777414" w:rsidRDefault="00777414" w:rsidP="00777414">
      <w:pPr>
        <w:widowControl/>
        <w:numPr>
          <w:ilvl w:val="0"/>
          <w:numId w:val="6"/>
        </w:numPr>
        <w:spacing w:line="276" w:lineRule="auto"/>
        <w:jc w:val="left"/>
        <w:rPr>
          <w:rFonts w:ascii="Arial" w:eastAsia="Arial" w:hAnsi="Arial" w:cs="Arial"/>
          <w:sz w:val="22"/>
          <w:szCs w:val="22"/>
        </w:rPr>
      </w:pPr>
      <w:r>
        <w:rPr>
          <w:rFonts w:ascii="Arial" w:eastAsia="Arial" w:hAnsi="Arial" w:cs="Arial"/>
        </w:rPr>
        <w:t xml:space="preserve">Advise the </w:t>
      </w:r>
      <w:r w:rsidRPr="00FC678C">
        <w:rPr>
          <w:rFonts w:ascii="Arial" w:eastAsia="Arial" w:hAnsi="Arial" w:cs="Arial"/>
        </w:rPr>
        <w:t>Monitoring and Evaluation Consultant</w:t>
      </w:r>
      <w:r>
        <w:rPr>
          <w:rFonts w:ascii="Arial" w:eastAsia="Arial" w:hAnsi="Arial" w:cs="Arial"/>
        </w:rPr>
        <w:t xml:space="preserve"> on</w:t>
      </w:r>
      <w:r w:rsidR="0012609E">
        <w:rPr>
          <w:rFonts w:ascii="Arial" w:eastAsia="Arial" w:hAnsi="Arial" w:cs="Arial"/>
        </w:rPr>
        <w:t xml:space="preserve"> substantive elements relating to adaptation and mitigation to include in a plan for consulting with line ministries and stakeholders.</w:t>
      </w:r>
    </w:p>
    <w:p w14:paraId="500414CF" w14:textId="095ABBB1" w:rsidR="00BF2E6D" w:rsidRPr="00BB744C" w:rsidRDefault="00FC678C" w:rsidP="00BF2E6D">
      <w:pPr>
        <w:widowControl/>
        <w:numPr>
          <w:ilvl w:val="0"/>
          <w:numId w:val="6"/>
        </w:numPr>
        <w:snapToGrid w:val="0"/>
        <w:spacing w:line="276" w:lineRule="auto"/>
        <w:contextualSpacing/>
        <w:rPr>
          <w:rFonts w:ascii="Arial" w:eastAsia="Times New Roman" w:hAnsi="Arial" w:cs="Arial"/>
          <w:szCs w:val="21"/>
        </w:rPr>
      </w:pPr>
      <w:r>
        <w:rPr>
          <w:rFonts w:ascii="Arial" w:eastAsia="Times New Roman" w:hAnsi="Arial" w:cs="Arial"/>
          <w:szCs w:val="21"/>
        </w:rPr>
        <w:t xml:space="preserve">Attend and support consultations with </w:t>
      </w:r>
      <w:r w:rsidR="00777414">
        <w:rPr>
          <w:rFonts w:ascii="Arial" w:eastAsia="Times New Roman" w:hAnsi="Arial" w:cs="Arial"/>
          <w:szCs w:val="21"/>
        </w:rPr>
        <w:t>l</w:t>
      </w:r>
      <w:r w:rsidR="00BF2E6D">
        <w:rPr>
          <w:rFonts w:ascii="Arial" w:eastAsia="Times New Roman" w:hAnsi="Arial" w:cs="Arial"/>
          <w:szCs w:val="21"/>
        </w:rPr>
        <w:t>ine ministry and s</w:t>
      </w:r>
      <w:r w:rsidR="00BF2E6D" w:rsidRPr="00BB744C">
        <w:rPr>
          <w:rFonts w:ascii="Arial" w:eastAsia="Times New Roman" w:hAnsi="Arial" w:cs="Arial"/>
          <w:szCs w:val="21"/>
        </w:rPr>
        <w:t xml:space="preserve">takeholder consultations </w:t>
      </w:r>
      <w:r w:rsidR="0012609E">
        <w:rPr>
          <w:rFonts w:ascii="Arial" w:eastAsia="Times New Roman" w:hAnsi="Arial" w:cs="Arial"/>
          <w:szCs w:val="21"/>
        </w:rPr>
        <w:t>led by the Monitoring and Evaluation Consultant</w:t>
      </w:r>
      <w:r w:rsidR="00777414">
        <w:rPr>
          <w:rFonts w:ascii="Arial" w:eastAsia="Times New Roman" w:hAnsi="Arial" w:cs="Arial"/>
          <w:szCs w:val="21"/>
        </w:rPr>
        <w:t xml:space="preserve">, including </w:t>
      </w:r>
      <w:r w:rsidR="0012609E">
        <w:rPr>
          <w:rFonts w:ascii="Arial" w:eastAsia="Times New Roman" w:hAnsi="Arial" w:cs="Arial"/>
          <w:szCs w:val="21"/>
        </w:rPr>
        <w:t xml:space="preserve">supporting </w:t>
      </w:r>
      <w:r w:rsidR="00BF2E6D" w:rsidRPr="00BB744C">
        <w:rPr>
          <w:rFonts w:ascii="Arial" w:eastAsia="Times New Roman" w:hAnsi="Arial" w:cs="Arial"/>
          <w:szCs w:val="21"/>
        </w:rPr>
        <w:t>document</w:t>
      </w:r>
      <w:r w:rsidR="00777414">
        <w:rPr>
          <w:rFonts w:ascii="Arial" w:eastAsia="Times New Roman" w:hAnsi="Arial" w:cs="Arial"/>
          <w:szCs w:val="21"/>
        </w:rPr>
        <w:t>ati</w:t>
      </w:r>
      <w:r w:rsidR="0012609E">
        <w:rPr>
          <w:rFonts w:ascii="Arial" w:eastAsia="Times New Roman" w:hAnsi="Arial" w:cs="Arial"/>
          <w:szCs w:val="21"/>
        </w:rPr>
        <w:t>on</w:t>
      </w:r>
      <w:r w:rsidR="00777414">
        <w:rPr>
          <w:rFonts w:ascii="Arial" w:eastAsia="Times New Roman" w:hAnsi="Arial" w:cs="Arial"/>
          <w:szCs w:val="21"/>
        </w:rPr>
        <w:t>,</w:t>
      </w:r>
      <w:r w:rsidR="00BF2E6D" w:rsidRPr="00BB744C">
        <w:rPr>
          <w:rFonts w:ascii="Arial" w:eastAsia="Times New Roman" w:hAnsi="Arial" w:cs="Arial"/>
          <w:szCs w:val="21"/>
        </w:rPr>
        <w:t xml:space="preserve"> to inform monitoring and evaluation framework and indicators.</w:t>
      </w:r>
    </w:p>
    <w:p w14:paraId="414CABAF" w14:textId="4F219AFF" w:rsidR="00BB744C" w:rsidRPr="00BB744C" w:rsidRDefault="00777414" w:rsidP="00BB744C">
      <w:pPr>
        <w:widowControl/>
        <w:numPr>
          <w:ilvl w:val="0"/>
          <w:numId w:val="6"/>
        </w:numPr>
        <w:snapToGrid w:val="0"/>
        <w:spacing w:line="276" w:lineRule="auto"/>
        <w:contextualSpacing/>
        <w:rPr>
          <w:rFonts w:ascii="Arial" w:eastAsia="Times New Roman" w:hAnsi="Arial" w:cs="Arial"/>
          <w:szCs w:val="21"/>
        </w:rPr>
      </w:pPr>
      <w:r>
        <w:rPr>
          <w:rFonts w:ascii="Arial" w:eastAsia="Times New Roman" w:hAnsi="Arial" w:cs="Arial"/>
          <w:szCs w:val="21"/>
        </w:rPr>
        <w:t>Provide e</w:t>
      </w:r>
      <w:r w:rsidR="001B005A">
        <w:rPr>
          <w:rFonts w:ascii="Arial" w:eastAsia="Times New Roman" w:hAnsi="Arial" w:cs="Arial"/>
          <w:szCs w:val="21"/>
        </w:rPr>
        <w:t xml:space="preserve">xpert technical advice </w:t>
      </w:r>
      <w:r w:rsidR="00F64AFD">
        <w:rPr>
          <w:rFonts w:ascii="Arial" w:eastAsia="Times New Roman" w:hAnsi="Arial" w:cs="Arial"/>
          <w:szCs w:val="21"/>
        </w:rPr>
        <w:t xml:space="preserve">on adaptation and mitigation </w:t>
      </w:r>
      <w:r w:rsidR="001B005A">
        <w:rPr>
          <w:rFonts w:ascii="Arial" w:eastAsia="Times New Roman" w:hAnsi="Arial" w:cs="Arial"/>
          <w:szCs w:val="21"/>
        </w:rPr>
        <w:t>to support a f</w:t>
      </w:r>
      <w:r w:rsidR="00BB744C" w:rsidRPr="00BB744C">
        <w:rPr>
          <w:rFonts w:ascii="Arial" w:eastAsia="Times New Roman" w:hAnsi="Arial" w:cs="Arial"/>
          <w:szCs w:val="21"/>
        </w:rPr>
        <w:t xml:space="preserve">ramework </w:t>
      </w:r>
      <w:r w:rsidR="00351261">
        <w:rPr>
          <w:rFonts w:ascii="Arial" w:eastAsia="Times New Roman" w:hAnsi="Arial" w:cs="Arial"/>
          <w:szCs w:val="21"/>
        </w:rPr>
        <w:t>drafted by the Monitoring and Evaluation Consultant</w:t>
      </w:r>
      <w:r w:rsidR="00351261" w:rsidRPr="00BB744C">
        <w:rPr>
          <w:rFonts w:ascii="Arial" w:eastAsia="Times New Roman" w:hAnsi="Arial" w:cs="Arial"/>
          <w:szCs w:val="21"/>
        </w:rPr>
        <w:t xml:space="preserve"> </w:t>
      </w:r>
      <w:r w:rsidR="00BB744C" w:rsidRPr="00BB744C">
        <w:rPr>
          <w:rFonts w:ascii="Arial" w:eastAsia="Times New Roman" w:hAnsi="Arial" w:cs="Arial"/>
          <w:szCs w:val="21"/>
        </w:rPr>
        <w:t xml:space="preserve">for evaluating the effectiveness and performance of the </w:t>
      </w:r>
      <w:r w:rsidR="00676678">
        <w:rPr>
          <w:rFonts w:ascii="Arial" w:eastAsia="Times New Roman" w:hAnsi="Arial" w:cs="Arial"/>
          <w:szCs w:val="21"/>
        </w:rPr>
        <w:t>CCA</w:t>
      </w:r>
      <w:r w:rsidR="00BB744C" w:rsidRPr="00BB744C">
        <w:rPr>
          <w:rFonts w:ascii="Arial" w:eastAsia="Times New Roman" w:hAnsi="Arial" w:cs="Arial"/>
          <w:szCs w:val="21"/>
        </w:rPr>
        <w:t xml:space="preserve"> that includes</w:t>
      </w:r>
      <w:r w:rsidR="00351261">
        <w:rPr>
          <w:rFonts w:ascii="Arial" w:eastAsia="Times New Roman" w:hAnsi="Arial" w:cs="Arial"/>
          <w:szCs w:val="21"/>
        </w:rPr>
        <w:t xml:space="preserve"> advice on</w:t>
      </w:r>
      <w:r w:rsidR="00BB744C" w:rsidRPr="00BB744C">
        <w:rPr>
          <w:rFonts w:ascii="Arial" w:eastAsia="Times New Roman" w:hAnsi="Arial" w:cs="Arial"/>
          <w:szCs w:val="21"/>
        </w:rPr>
        <w:t>:</w:t>
      </w:r>
    </w:p>
    <w:p w14:paraId="35632920" w14:textId="7C6E9081" w:rsidR="00BB744C" w:rsidRPr="00BB744C" w:rsidRDefault="00BB744C" w:rsidP="00BB744C">
      <w:pPr>
        <w:widowControl/>
        <w:numPr>
          <w:ilvl w:val="1"/>
          <w:numId w:val="6"/>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 xml:space="preserve">effectiveness and performance indicators to evaluate the implementation of the </w:t>
      </w:r>
      <w:r w:rsidR="00083FE2">
        <w:rPr>
          <w:rFonts w:ascii="Arial" w:eastAsia="Times New Roman" w:hAnsi="Arial" w:cs="Arial"/>
          <w:szCs w:val="21"/>
        </w:rPr>
        <w:t>CCA</w:t>
      </w:r>
      <w:r w:rsidRPr="00BB744C">
        <w:rPr>
          <w:rFonts w:ascii="Arial" w:eastAsia="Times New Roman" w:hAnsi="Arial" w:cs="Arial"/>
          <w:szCs w:val="21"/>
        </w:rPr>
        <w:t xml:space="preserve"> as per Part 4, </w:t>
      </w:r>
      <w:r w:rsidR="002E7387">
        <w:rPr>
          <w:rFonts w:ascii="Arial" w:eastAsia="Times New Roman" w:hAnsi="Arial" w:cs="Arial"/>
          <w:szCs w:val="21"/>
        </w:rPr>
        <w:t>s</w:t>
      </w:r>
      <w:r w:rsidRPr="00BB744C">
        <w:rPr>
          <w:rFonts w:ascii="Arial" w:eastAsia="Times New Roman" w:hAnsi="Arial" w:cs="Arial"/>
          <w:szCs w:val="21"/>
        </w:rPr>
        <w:t>ection 10(2).</w:t>
      </w:r>
    </w:p>
    <w:p w14:paraId="251BAFEC" w14:textId="338E242B" w:rsidR="00083FE2" w:rsidRPr="00083FE2" w:rsidRDefault="00BB744C" w:rsidP="00083FE2">
      <w:pPr>
        <w:widowControl/>
        <w:numPr>
          <w:ilvl w:val="1"/>
          <w:numId w:val="6"/>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 xml:space="preserve">monitoring and reporting </w:t>
      </w:r>
      <w:proofErr w:type="gramStart"/>
      <w:r w:rsidRPr="00BB744C">
        <w:rPr>
          <w:rFonts w:ascii="Arial" w:eastAsia="Times New Roman" w:hAnsi="Arial" w:cs="Arial"/>
          <w:szCs w:val="21"/>
        </w:rPr>
        <w:t>processes</w:t>
      </w:r>
      <w:proofErr w:type="gramEnd"/>
      <w:r w:rsidRPr="00BB744C">
        <w:rPr>
          <w:rFonts w:ascii="Arial" w:eastAsia="Times New Roman" w:hAnsi="Arial" w:cs="Arial"/>
          <w:szCs w:val="21"/>
        </w:rPr>
        <w:t xml:space="preserve">, plans and templates and online tools to enable </w:t>
      </w:r>
      <w:r w:rsidR="002E7387">
        <w:rPr>
          <w:rFonts w:ascii="Arial" w:eastAsia="Times New Roman" w:hAnsi="Arial" w:cs="Arial"/>
          <w:szCs w:val="21"/>
        </w:rPr>
        <w:t>effective evaluation</w:t>
      </w:r>
      <w:r w:rsidR="0024651C">
        <w:rPr>
          <w:rFonts w:ascii="Arial" w:eastAsia="Times New Roman" w:hAnsi="Arial" w:cs="Arial"/>
          <w:szCs w:val="21"/>
        </w:rPr>
        <w:t>.</w:t>
      </w:r>
    </w:p>
    <w:p w14:paraId="154025BE" w14:textId="7A67DF9F" w:rsidR="00083FE2" w:rsidRPr="00676678" w:rsidRDefault="00083FE2" w:rsidP="00676678">
      <w:pPr>
        <w:widowControl/>
        <w:numPr>
          <w:ilvl w:val="0"/>
          <w:numId w:val="6"/>
        </w:numPr>
        <w:spacing w:line="276" w:lineRule="auto"/>
        <w:rPr>
          <w:rFonts w:ascii="Arial" w:eastAsia="Arial" w:hAnsi="Arial" w:cs="Arial"/>
        </w:rPr>
      </w:pPr>
      <w:r>
        <w:rPr>
          <w:rFonts w:ascii="Arial" w:eastAsia="Arial" w:hAnsi="Arial" w:cs="Arial"/>
        </w:rPr>
        <w:t>Attend and support consultations with line ministry and stakeholder consultations on the draft framework.</w:t>
      </w:r>
    </w:p>
    <w:p w14:paraId="779EC4A9" w14:textId="6DBE4A38" w:rsidR="001B005A" w:rsidRDefault="006D4E09" w:rsidP="001B005A">
      <w:pPr>
        <w:widowControl/>
        <w:numPr>
          <w:ilvl w:val="0"/>
          <w:numId w:val="6"/>
        </w:numPr>
        <w:snapToGrid w:val="0"/>
        <w:spacing w:line="276" w:lineRule="auto"/>
        <w:contextualSpacing/>
        <w:rPr>
          <w:rFonts w:ascii="Arial" w:eastAsia="Times New Roman" w:hAnsi="Arial" w:cs="Arial"/>
          <w:szCs w:val="21"/>
        </w:rPr>
      </w:pPr>
      <w:r>
        <w:rPr>
          <w:rFonts w:ascii="Arial" w:eastAsia="Arial" w:hAnsi="Arial" w:cs="Arial"/>
        </w:rPr>
        <w:t xml:space="preserve">Provide expert technical advice on adaptation and mitigation to support the Monitoring and Evaluation Consultant </w:t>
      </w:r>
      <w:proofErr w:type="spellStart"/>
      <w:r>
        <w:rPr>
          <w:rFonts w:ascii="Arial" w:eastAsia="Arial" w:hAnsi="Arial" w:cs="Arial"/>
        </w:rPr>
        <w:t>finalise</w:t>
      </w:r>
      <w:proofErr w:type="spellEnd"/>
      <w:r>
        <w:rPr>
          <w:rFonts w:ascii="Arial" w:eastAsia="Arial" w:hAnsi="Arial" w:cs="Arial"/>
        </w:rPr>
        <w:t xml:space="preserve"> the framework that reflects the outcomes of consultations and includes all elements from draft framework.</w:t>
      </w:r>
    </w:p>
    <w:p w14:paraId="3FBB10BD" w14:textId="77777777" w:rsidR="00BB744C" w:rsidRPr="00BB744C" w:rsidRDefault="00B25DB5" w:rsidP="00BB744C">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7D751AB0">
          <v:rect id="_x0000_i1028" alt="" style="width:451.3pt;height:.05pt;mso-width-percent:0;mso-height-percent:0;mso-width-percent:0;mso-height-percent:0" o:hralign="center" o:hrstd="t" o:hr="t" fillcolor="#a0a0a0" stroked="f"/>
        </w:pict>
      </w:r>
    </w:p>
    <w:p w14:paraId="067E0173" w14:textId="77777777" w:rsidR="00BB744C" w:rsidRPr="00BB744C" w:rsidRDefault="00BB744C" w:rsidP="00BB744C">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Key Selection Criteria</w:t>
      </w:r>
    </w:p>
    <w:p w14:paraId="2B0A43A3" w14:textId="7F966697" w:rsidR="00BB744C" w:rsidRPr="00BB744C" w:rsidRDefault="00311148" w:rsidP="00BB744C">
      <w:pPr>
        <w:widowControl/>
        <w:numPr>
          <w:ilvl w:val="0"/>
          <w:numId w:val="7"/>
        </w:numPr>
        <w:snapToGrid w:val="0"/>
        <w:spacing w:line="276" w:lineRule="auto"/>
        <w:contextualSpacing/>
        <w:rPr>
          <w:rFonts w:ascii="Arial" w:eastAsia="Times New Roman" w:hAnsi="Arial" w:cs="Arial"/>
          <w:szCs w:val="21"/>
        </w:rPr>
      </w:pPr>
      <w:r>
        <w:rPr>
          <w:rFonts w:ascii="Arial" w:eastAsia="Times New Roman" w:hAnsi="Arial" w:cs="Arial"/>
          <w:szCs w:val="21"/>
        </w:rPr>
        <w:t>Postgraduate</w:t>
      </w:r>
      <w:r w:rsidR="00BB744C" w:rsidRPr="00BB744C">
        <w:rPr>
          <w:rFonts w:ascii="Arial" w:eastAsia="Times New Roman" w:hAnsi="Arial" w:cs="Arial"/>
          <w:szCs w:val="21"/>
        </w:rPr>
        <w:t xml:space="preserve"> degree </w:t>
      </w:r>
      <w:r w:rsidR="00D44B79" w:rsidRPr="00BB744C">
        <w:rPr>
          <w:rFonts w:ascii="Arial" w:eastAsia="Times New Roman" w:hAnsi="Arial" w:cs="Arial"/>
          <w:szCs w:val="21"/>
        </w:rPr>
        <w:t>in</w:t>
      </w:r>
      <w:r w:rsidR="00D44B79">
        <w:rPr>
          <w:rFonts w:ascii="Arial" w:eastAsia="Times New Roman" w:hAnsi="Arial" w:cs="Arial"/>
          <w:szCs w:val="21"/>
        </w:rPr>
        <w:t xml:space="preserve"> a relevant field</w:t>
      </w:r>
      <w:r w:rsidR="00BB744C" w:rsidRPr="00BB744C">
        <w:rPr>
          <w:rFonts w:ascii="Arial" w:eastAsia="Times New Roman" w:hAnsi="Arial" w:cs="Arial"/>
          <w:szCs w:val="21"/>
        </w:rPr>
        <w:t xml:space="preserve"> </w:t>
      </w:r>
      <w:r w:rsidR="00D44B79">
        <w:rPr>
          <w:rFonts w:ascii="Arial" w:eastAsia="Times New Roman" w:hAnsi="Arial" w:cs="Arial"/>
          <w:szCs w:val="21"/>
        </w:rPr>
        <w:t>(</w:t>
      </w:r>
      <w:proofErr w:type="gramStart"/>
      <w:r w:rsidR="00D44B79">
        <w:rPr>
          <w:rFonts w:ascii="Arial" w:eastAsia="Times New Roman" w:hAnsi="Arial" w:cs="Arial"/>
          <w:szCs w:val="21"/>
        </w:rPr>
        <w:t>e.g.</w:t>
      </w:r>
      <w:proofErr w:type="gramEnd"/>
      <w:r w:rsidR="00D44B79">
        <w:rPr>
          <w:rFonts w:ascii="Arial" w:eastAsia="Times New Roman" w:hAnsi="Arial" w:cs="Arial"/>
          <w:szCs w:val="21"/>
        </w:rPr>
        <w:t xml:space="preserve"> </w:t>
      </w:r>
      <w:r w:rsidR="00BB744C" w:rsidRPr="00BB744C">
        <w:rPr>
          <w:rFonts w:ascii="Arial" w:eastAsia="Times New Roman" w:hAnsi="Arial" w:cs="Arial"/>
          <w:szCs w:val="21"/>
        </w:rPr>
        <w:t>Climate Change</w:t>
      </w:r>
      <w:r w:rsidR="00666B84">
        <w:rPr>
          <w:rFonts w:ascii="Arial" w:eastAsia="Times New Roman" w:hAnsi="Arial" w:cs="Arial"/>
          <w:szCs w:val="21"/>
        </w:rPr>
        <w:t>,</w:t>
      </w:r>
      <w:r w:rsidR="00FE5177">
        <w:rPr>
          <w:rFonts w:ascii="Arial" w:eastAsia="Times New Roman" w:hAnsi="Arial" w:cs="Arial"/>
          <w:szCs w:val="21"/>
        </w:rPr>
        <w:t xml:space="preserve"> Adaptation</w:t>
      </w:r>
      <w:r w:rsidR="00BB744C" w:rsidRPr="00BB744C">
        <w:rPr>
          <w:rFonts w:ascii="Arial" w:eastAsia="Times New Roman" w:hAnsi="Arial" w:cs="Arial"/>
          <w:szCs w:val="21"/>
        </w:rPr>
        <w:t xml:space="preserve">, </w:t>
      </w:r>
      <w:r w:rsidR="00FE5177">
        <w:rPr>
          <w:rFonts w:ascii="Arial" w:eastAsia="Times New Roman" w:hAnsi="Arial" w:cs="Arial"/>
          <w:szCs w:val="21"/>
        </w:rPr>
        <w:t xml:space="preserve">Mitigation, </w:t>
      </w:r>
      <w:r w:rsidR="00BB744C" w:rsidRPr="00BB744C">
        <w:rPr>
          <w:rFonts w:ascii="Arial" w:eastAsia="Times New Roman" w:hAnsi="Arial" w:cs="Arial"/>
          <w:szCs w:val="21"/>
        </w:rPr>
        <w:t>Research, Data Evaluation</w:t>
      </w:r>
      <w:r w:rsidR="00D44B79">
        <w:rPr>
          <w:rFonts w:ascii="Arial" w:eastAsia="Times New Roman" w:hAnsi="Arial" w:cs="Arial"/>
          <w:szCs w:val="21"/>
        </w:rPr>
        <w:t xml:space="preserve">, etc.). </w:t>
      </w:r>
      <w:r>
        <w:rPr>
          <w:rFonts w:ascii="Arial" w:eastAsia="Arial" w:hAnsi="Arial" w:cs="Arial"/>
        </w:rPr>
        <w:t>Masters qualification would be an advantage.</w:t>
      </w:r>
    </w:p>
    <w:p w14:paraId="43D19A28" w14:textId="0E06C523" w:rsidR="00BB744C" w:rsidRPr="00BB744C" w:rsidRDefault="00BB744C" w:rsidP="00BB744C">
      <w:pPr>
        <w:widowControl/>
        <w:numPr>
          <w:ilvl w:val="0"/>
          <w:numId w:val="7"/>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 xml:space="preserve">Minimum </w:t>
      </w:r>
      <w:r w:rsidR="008D58A0">
        <w:rPr>
          <w:rFonts w:ascii="Arial" w:eastAsia="Times New Roman" w:hAnsi="Arial" w:cs="Arial"/>
          <w:szCs w:val="21"/>
        </w:rPr>
        <w:t>5</w:t>
      </w:r>
      <w:r w:rsidR="00D44B79">
        <w:rPr>
          <w:rFonts w:ascii="Arial" w:eastAsia="Times New Roman" w:hAnsi="Arial" w:cs="Arial"/>
          <w:szCs w:val="21"/>
        </w:rPr>
        <w:t xml:space="preserve"> - </w:t>
      </w:r>
      <w:r w:rsidR="008D58A0">
        <w:rPr>
          <w:rFonts w:ascii="Arial" w:eastAsia="Times New Roman" w:hAnsi="Arial" w:cs="Arial"/>
          <w:szCs w:val="21"/>
        </w:rPr>
        <w:t>7</w:t>
      </w:r>
      <w:r w:rsidRPr="00BB744C">
        <w:rPr>
          <w:rFonts w:ascii="Arial" w:eastAsia="Times New Roman" w:hAnsi="Arial" w:cs="Arial"/>
          <w:szCs w:val="21"/>
        </w:rPr>
        <w:t xml:space="preserve"> years of professional work experience in climate change policy</w:t>
      </w:r>
      <w:r w:rsidR="002920AC">
        <w:rPr>
          <w:rFonts w:ascii="Arial" w:eastAsia="Times New Roman" w:hAnsi="Arial" w:cs="Arial"/>
          <w:szCs w:val="21"/>
        </w:rPr>
        <w:t>, adaptation, mitigation, implementing environmental policy,</w:t>
      </w:r>
      <w:r w:rsidRPr="00BB744C">
        <w:rPr>
          <w:rFonts w:ascii="Arial" w:eastAsia="Times New Roman" w:hAnsi="Arial" w:cs="Arial"/>
          <w:szCs w:val="21"/>
        </w:rPr>
        <w:t xml:space="preserve"> </w:t>
      </w:r>
      <w:r w:rsidR="002920AC" w:rsidRPr="00BB744C">
        <w:rPr>
          <w:rFonts w:ascii="Arial" w:eastAsia="Times New Roman" w:hAnsi="Arial" w:cs="Arial"/>
          <w:szCs w:val="21"/>
        </w:rPr>
        <w:t xml:space="preserve">monitoring and evaluation, </w:t>
      </w:r>
      <w:r w:rsidRPr="00BB744C">
        <w:rPr>
          <w:rFonts w:ascii="Arial" w:eastAsia="Times New Roman" w:hAnsi="Arial" w:cs="Arial"/>
          <w:szCs w:val="21"/>
        </w:rPr>
        <w:t>or related fields.</w:t>
      </w:r>
    </w:p>
    <w:p w14:paraId="233E798E" w14:textId="77777777" w:rsidR="00BB744C" w:rsidRPr="00BB744C" w:rsidRDefault="00BB744C" w:rsidP="00BB744C">
      <w:pPr>
        <w:widowControl/>
        <w:numPr>
          <w:ilvl w:val="0"/>
          <w:numId w:val="7"/>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Experience in stakeholder consultation, multi-agency coordination, and participatory planning processes.</w:t>
      </w:r>
    </w:p>
    <w:p w14:paraId="2EC9F755" w14:textId="16D79F23" w:rsidR="00BB744C" w:rsidRPr="00BB744C" w:rsidRDefault="00BB744C" w:rsidP="00BB744C">
      <w:pPr>
        <w:widowControl/>
        <w:numPr>
          <w:ilvl w:val="0"/>
          <w:numId w:val="7"/>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Familiarity with the Pacific region’s climate governance and policy frameworks</w:t>
      </w:r>
      <w:r w:rsidR="0024651C">
        <w:rPr>
          <w:rFonts w:ascii="Arial" w:eastAsia="Times New Roman" w:hAnsi="Arial" w:cs="Arial"/>
          <w:szCs w:val="21"/>
        </w:rPr>
        <w:t>, or similar</w:t>
      </w:r>
      <w:r w:rsidRPr="00BB744C">
        <w:rPr>
          <w:rFonts w:ascii="Arial" w:eastAsia="Times New Roman" w:hAnsi="Arial" w:cs="Arial"/>
          <w:szCs w:val="21"/>
        </w:rPr>
        <w:t>.</w:t>
      </w:r>
    </w:p>
    <w:p w14:paraId="15223AF1" w14:textId="77777777" w:rsidR="00BB744C" w:rsidRPr="00BB744C" w:rsidRDefault="00BB744C" w:rsidP="00BB744C">
      <w:pPr>
        <w:widowControl/>
        <w:numPr>
          <w:ilvl w:val="0"/>
          <w:numId w:val="7"/>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Excellent report writing, data analysis, and presentation skills.</w:t>
      </w:r>
    </w:p>
    <w:p w14:paraId="5D3BF8D4" w14:textId="77777777" w:rsidR="00BB744C" w:rsidRPr="00BB744C" w:rsidRDefault="00BB744C" w:rsidP="00BB744C">
      <w:pPr>
        <w:widowControl/>
        <w:numPr>
          <w:ilvl w:val="0"/>
          <w:numId w:val="7"/>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Strong interpersonal and communication skills, with demonstrated ability to work in cross-cultural and multi-stakeholder environments.</w:t>
      </w:r>
    </w:p>
    <w:p w14:paraId="60C5CF94" w14:textId="1AF8A825" w:rsidR="00BB744C" w:rsidRPr="00BB744C" w:rsidRDefault="00BB744C" w:rsidP="00BB744C">
      <w:pPr>
        <w:widowControl/>
        <w:numPr>
          <w:ilvl w:val="0"/>
          <w:numId w:val="7"/>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Proficiency in MS Office Suite</w:t>
      </w:r>
      <w:r w:rsidR="00D44B79">
        <w:rPr>
          <w:rFonts w:ascii="Arial" w:eastAsia="Times New Roman" w:hAnsi="Arial" w:cs="Arial"/>
          <w:szCs w:val="21"/>
        </w:rPr>
        <w:t>.</w:t>
      </w:r>
    </w:p>
    <w:p w14:paraId="1FB9568E" w14:textId="77777777" w:rsidR="00BB744C" w:rsidRPr="00BB744C" w:rsidRDefault="00BB744C" w:rsidP="00BB744C">
      <w:pPr>
        <w:widowControl/>
        <w:numPr>
          <w:ilvl w:val="0"/>
          <w:numId w:val="7"/>
        </w:numPr>
        <w:snapToGrid w:val="0"/>
        <w:spacing w:line="276" w:lineRule="auto"/>
        <w:contextualSpacing/>
        <w:rPr>
          <w:rFonts w:ascii="Arial" w:eastAsia="Times New Roman" w:hAnsi="Arial" w:cs="Arial"/>
          <w:szCs w:val="21"/>
        </w:rPr>
      </w:pPr>
      <w:r w:rsidRPr="00BB744C">
        <w:rPr>
          <w:rFonts w:ascii="Arial" w:eastAsia="Times New Roman" w:hAnsi="Arial" w:cs="Arial"/>
          <w:szCs w:val="21"/>
        </w:rPr>
        <w:t>Excellent written and spoken English.</w:t>
      </w:r>
    </w:p>
    <w:p w14:paraId="243A4DBE" w14:textId="77777777" w:rsidR="00BB744C" w:rsidRPr="00BB744C" w:rsidRDefault="00B25DB5" w:rsidP="00BB744C">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2A95AE55">
          <v:rect id="_x0000_i1027" alt="" style="width:451.3pt;height:.05pt;mso-width-percent:0;mso-height-percent:0;mso-width-percent:0;mso-height-percent:0" o:hralign="center" o:hrstd="t" o:hr="t" fillcolor="#a0a0a0" stroked="f"/>
        </w:pict>
      </w:r>
    </w:p>
    <w:p w14:paraId="6BC548CA" w14:textId="77777777" w:rsidR="00BB744C" w:rsidRPr="00BB744C" w:rsidRDefault="00BB744C" w:rsidP="00BB744C">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Reporting structure</w:t>
      </w:r>
    </w:p>
    <w:p w14:paraId="0A865443" w14:textId="77777777" w:rsidR="00BB744C" w:rsidRPr="00BB744C" w:rsidRDefault="00BB744C" w:rsidP="00BB744C">
      <w:pPr>
        <w:widowControl/>
        <w:snapToGrid w:val="0"/>
        <w:spacing w:line="276" w:lineRule="auto"/>
        <w:contextualSpacing/>
        <w:rPr>
          <w:rFonts w:ascii="Arial" w:eastAsia="Times New Roman" w:hAnsi="Arial" w:cs="Arial"/>
          <w:szCs w:val="21"/>
        </w:rPr>
      </w:pPr>
      <w:r w:rsidRPr="00BB744C">
        <w:rPr>
          <w:rFonts w:ascii="Arial" w:eastAsia="Times New Roman" w:hAnsi="Arial" w:cs="Arial"/>
          <w:szCs w:val="21"/>
        </w:rPr>
        <w:t>The consultant reports to the Director of Climate Change and works closely with other relevant Ministry staff as required.</w:t>
      </w:r>
    </w:p>
    <w:p w14:paraId="5E5B50F3" w14:textId="77777777" w:rsidR="00BB744C" w:rsidRPr="00BB744C" w:rsidRDefault="00B25DB5" w:rsidP="00BB744C">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7E7D9102">
          <v:rect id="_x0000_i1026" alt="" style="width:451.3pt;height:.05pt;mso-width-percent:0;mso-height-percent:0;mso-width-percent:0;mso-height-percent:0" o:hralign="center" o:hrstd="t" o:hr="t" fillcolor="#a0a0a0" stroked="f"/>
        </w:pict>
      </w:r>
    </w:p>
    <w:p w14:paraId="703D6679" w14:textId="77777777" w:rsidR="00BB744C" w:rsidRPr="00BB744C" w:rsidRDefault="00BB744C" w:rsidP="00BB744C">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Duration of contract</w:t>
      </w:r>
    </w:p>
    <w:p w14:paraId="7E9114E2" w14:textId="64FB68F6" w:rsidR="00BB744C" w:rsidRPr="00BB744C" w:rsidRDefault="00B759F6" w:rsidP="00BB744C">
      <w:pPr>
        <w:widowControl/>
        <w:snapToGrid w:val="0"/>
        <w:spacing w:line="276" w:lineRule="auto"/>
        <w:contextualSpacing/>
        <w:rPr>
          <w:rFonts w:ascii="Arial" w:eastAsia="Times New Roman" w:hAnsi="Arial" w:cs="Arial"/>
          <w:szCs w:val="21"/>
        </w:rPr>
      </w:pPr>
      <w:r>
        <w:rPr>
          <w:rFonts w:ascii="Arial" w:eastAsia="Times New Roman" w:hAnsi="Arial" w:cs="Arial"/>
          <w:szCs w:val="21"/>
        </w:rPr>
        <w:t>3.5</w:t>
      </w:r>
      <w:r w:rsidR="00BB744C" w:rsidRPr="00BB744C">
        <w:rPr>
          <w:rFonts w:ascii="Arial" w:eastAsia="Times New Roman" w:hAnsi="Arial" w:cs="Arial"/>
          <w:szCs w:val="21"/>
        </w:rPr>
        <w:t xml:space="preserve"> months </w:t>
      </w:r>
    </w:p>
    <w:p w14:paraId="1EDB15B8" w14:textId="77777777" w:rsidR="00BB744C" w:rsidRPr="00BB744C" w:rsidRDefault="00B25DB5" w:rsidP="00BB744C">
      <w:pPr>
        <w:widowControl/>
        <w:snapToGrid w:val="0"/>
        <w:spacing w:line="276" w:lineRule="auto"/>
        <w:contextualSpacing/>
        <w:rPr>
          <w:rFonts w:ascii="Arial" w:eastAsia="Times New Roman" w:hAnsi="Arial" w:cs="Arial"/>
          <w:szCs w:val="21"/>
        </w:rPr>
      </w:pPr>
      <w:r>
        <w:rPr>
          <w:rFonts w:ascii="Arial" w:eastAsia="Times New Roman" w:hAnsi="Arial" w:cs="Arial"/>
          <w:noProof/>
          <w:szCs w:val="21"/>
        </w:rPr>
        <w:pict w14:anchorId="1D807F29">
          <v:rect id="_x0000_i1025" alt="" style="width:451.3pt;height:.05pt;mso-width-percent:0;mso-height-percent:0;mso-width-percent:0;mso-height-percent:0" o:hralign="center" o:hrstd="t" o:hr="t" fillcolor="#a0a0a0" stroked="f"/>
        </w:pict>
      </w:r>
    </w:p>
    <w:p w14:paraId="55DCF1CF" w14:textId="77777777" w:rsidR="00BB744C" w:rsidRPr="00BB744C" w:rsidRDefault="00BB744C" w:rsidP="00BB744C">
      <w:pPr>
        <w:widowControl/>
        <w:snapToGrid w:val="0"/>
        <w:spacing w:line="276" w:lineRule="auto"/>
        <w:contextualSpacing/>
        <w:rPr>
          <w:rFonts w:ascii="Arial" w:eastAsia="Times New Roman" w:hAnsi="Arial" w:cs="Arial"/>
          <w:b/>
          <w:bCs/>
          <w:szCs w:val="21"/>
        </w:rPr>
      </w:pPr>
      <w:r w:rsidRPr="00BB744C">
        <w:rPr>
          <w:rFonts w:ascii="Arial" w:eastAsia="Times New Roman" w:hAnsi="Arial" w:cs="Arial"/>
          <w:b/>
          <w:bCs/>
          <w:szCs w:val="21"/>
        </w:rPr>
        <w:t>Remarks</w:t>
      </w:r>
    </w:p>
    <w:p w14:paraId="1835745C" w14:textId="77777777" w:rsidR="00BB744C" w:rsidRPr="00BB744C" w:rsidRDefault="00BB744C" w:rsidP="00BB744C">
      <w:pPr>
        <w:widowControl/>
        <w:snapToGrid w:val="0"/>
        <w:spacing w:line="276" w:lineRule="auto"/>
        <w:contextualSpacing/>
        <w:rPr>
          <w:rFonts w:ascii="Arial" w:eastAsia="Times New Roman" w:hAnsi="Arial" w:cs="Arial"/>
          <w:szCs w:val="21"/>
        </w:rPr>
      </w:pPr>
      <w:r w:rsidRPr="00BB744C">
        <w:rPr>
          <w:rFonts w:ascii="Arial" w:eastAsia="Times New Roman" w:hAnsi="Arial" w:cs="Arial"/>
          <w:szCs w:val="21"/>
        </w:rPr>
        <w:t>General conditions of contracts for the service of consultants and individual contractors apply. This position is located in Suva, Fiji.</w:t>
      </w:r>
    </w:p>
    <w:p w14:paraId="78B3C612" w14:textId="77777777" w:rsidR="00AD0FAE" w:rsidRPr="009F4A7F" w:rsidRDefault="00AD0FAE" w:rsidP="009F4A7F">
      <w:pPr>
        <w:widowControl/>
        <w:snapToGrid w:val="0"/>
        <w:spacing w:line="276" w:lineRule="auto"/>
        <w:contextualSpacing/>
        <w:rPr>
          <w:rFonts w:ascii="Times New Roman" w:eastAsia="Times New Roman"/>
          <w:sz w:val="24"/>
          <w:szCs w:val="24"/>
        </w:rPr>
      </w:pPr>
    </w:p>
    <w:sectPr w:rsidR="00AD0FAE" w:rsidRPr="009F4A7F" w:rsidSect="00DA7A21">
      <w:footerReference w:type="even" r:id="rId10"/>
      <w:pgSz w:w="11909" w:h="16834"/>
      <w:pgMar w:top="1080" w:right="1379" w:bottom="900" w:left="1440" w:header="850" w:footer="99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9E49" w14:textId="77777777" w:rsidR="00B25DB5" w:rsidRDefault="00B25DB5">
      <w:pPr>
        <w:spacing w:line="240" w:lineRule="auto"/>
      </w:pPr>
      <w:r>
        <w:separator/>
      </w:r>
    </w:p>
  </w:endnote>
  <w:endnote w:type="continuationSeparator" w:id="0">
    <w:p w14:paraId="5A920E41" w14:textId="77777777" w:rsidR="00B25DB5" w:rsidRDefault="00B25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l‚r –¾’©">
    <w:altName w:val="MS Mincho"/>
    <w:panose1 w:val="020B0604020202020204"/>
    <w:charset w:val="00"/>
    <w:family w:val="auto"/>
    <w:pitch w:val="default"/>
  </w:font>
  <w:font w:name="Segoe UI">
    <w:panose1 w:val="020B0604020202020204"/>
    <w:charset w:val="00"/>
    <w:family w:val="swiss"/>
    <w:pitch w:val="variable"/>
    <w:sig w:usb0="E4002EFF" w:usb1="C000E47F"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DB1D" w14:textId="77777777" w:rsidR="003B12BB" w:rsidRDefault="008B757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03587" w14:textId="77777777" w:rsidR="00B25DB5" w:rsidRDefault="00B25DB5">
      <w:pPr>
        <w:spacing w:line="240" w:lineRule="auto"/>
      </w:pPr>
      <w:r>
        <w:separator/>
      </w:r>
    </w:p>
  </w:footnote>
  <w:footnote w:type="continuationSeparator" w:id="0">
    <w:p w14:paraId="7653F646" w14:textId="77777777" w:rsidR="00B25DB5" w:rsidRDefault="00B25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4628"/>
    <w:multiLevelType w:val="hybridMultilevel"/>
    <w:tmpl w:val="5C22E0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FB51C9"/>
    <w:multiLevelType w:val="hybridMultilevel"/>
    <w:tmpl w:val="F09886B0"/>
    <w:lvl w:ilvl="0" w:tplc="B0BA5F22">
      <w:start w:val="1"/>
      <w:numFmt w:val="decimal"/>
      <w:lvlText w:val="%1."/>
      <w:lvlJc w:val="left"/>
      <w:pPr>
        <w:ind w:left="720" w:hanging="360"/>
      </w:pPr>
      <w:rPr>
        <w:rFonts w:ascii="Book Antiqua" w:hAnsi="Book Antiqua" w:hint="default"/>
        <w:b/>
        <w:color w:val="1F4E79"/>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B395E"/>
    <w:multiLevelType w:val="hybridMultilevel"/>
    <w:tmpl w:val="3E6E6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F246D"/>
    <w:multiLevelType w:val="multilevel"/>
    <w:tmpl w:val="FCF0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702F6"/>
    <w:multiLevelType w:val="multilevel"/>
    <w:tmpl w:val="6E5E99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E91791D"/>
    <w:multiLevelType w:val="multilevel"/>
    <w:tmpl w:val="23EE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1B0944"/>
    <w:multiLevelType w:val="multilevel"/>
    <w:tmpl w:val="5344A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4033A"/>
    <w:multiLevelType w:val="hybridMultilevel"/>
    <w:tmpl w:val="EC96DCC2"/>
    <w:lvl w:ilvl="0" w:tplc="B7D84C9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754509">
    <w:abstractNumId w:val="2"/>
  </w:num>
  <w:num w:numId="2" w16cid:durableId="367024639">
    <w:abstractNumId w:val="7"/>
  </w:num>
  <w:num w:numId="3" w16cid:durableId="208148649">
    <w:abstractNumId w:val="1"/>
  </w:num>
  <w:num w:numId="4" w16cid:durableId="42606791">
    <w:abstractNumId w:val="0"/>
  </w:num>
  <w:num w:numId="5" w16cid:durableId="1599866999">
    <w:abstractNumId w:val="3"/>
  </w:num>
  <w:num w:numId="6" w16cid:durableId="509880969">
    <w:abstractNumId w:val="6"/>
  </w:num>
  <w:num w:numId="7" w16cid:durableId="913972988">
    <w:abstractNumId w:val="5"/>
  </w:num>
  <w:num w:numId="8" w16cid:durableId="517893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17"/>
    <w:rsid w:val="0001119B"/>
    <w:rsid w:val="00011BBA"/>
    <w:rsid w:val="00040A00"/>
    <w:rsid w:val="00057AE8"/>
    <w:rsid w:val="0007192F"/>
    <w:rsid w:val="00071E28"/>
    <w:rsid w:val="00083FE2"/>
    <w:rsid w:val="00092E22"/>
    <w:rsid w:val="000A578C"/>
    <w:rsid w:val="000B1FCA"/>
    <w:rsid w:val="000C5DAC"/>
    <w:rsid w:val="000D1A96"/>
    <w:rsid w:val="000E2E21"/>
    <w:rsid w:val="000F1D8C"/>
    <w:rsid w:val="000F6AAD"/>
    <w:rsid w:val="000F79C8"/>
    <w:rsid w:val="00100E21"/>
    <w:rsid w:val="00116D15"/>
    <w:rsid w:val="0012490F"/>
    <w:rsid w:val="0012609E"/>
    <w:rsid w:val="001339B5"/>
    <w:rsid w:val="00145CC0"/>
    <w:rsid w:val="001843B4"/>
    <w:rsid w:val="00192373"/>
    <w:rsid w:val="001A343A"/>
    <w:rsid w:val="001A775A"/>
    <w:rsid w:val="001B005A"/>
    <w:rsid w:val="001B2D8C"/>
    <w:rsid w:val="001B778A"/>
    <w:rsid w:val="001E2615"/>
    <w:rsid w:val="001E709A"/>
    <w:rsid w:val="00210174"/>
    <w:rsid w:val="00212ADF"/>
    <w:rsid w:val="00214B8C"/>
    <w:rsid w:val="00215AB2"/>
    <w:rsid w:val="002450A0"/>
    <w:rsid w:val="0024651C"/>
    <w:rsid w:val="00255238"/>
    <w:rsid w:val="00256629"/>
    <w:rsid w:val="00261095"/>
    <w:rsid w:val="0028226B"/>
    <w:rsid w:val="00290050"/>
    <w:rsid w:val="002920AC"/>
    <w:rsid w:val="002933FD"/>
    <w:rsid w:val="00293579"/>
    <w:rsid w:val="00294B28"/>
    <w:rsid w:val="00296182"/>
    <w:rsid w:val="002A1690"/>
    <w:rsid w:val="002A51D5"/>
    <w:rsid w:val="002D4F64"/>
    <w:rsid w:val="002E0B26"/>
    <w:rsid w:val="002E0D20"/>
    <w:rsid w:val="002E4A64"/>
    <w:rsid w:val="002E661E"/>
    <w:rsid w:val="002E7387"/>
    <w:rsid w:val="002F3C9F"/>
    <w:rsid w:val="002F51BA"/>
    <w:rsid w:val="003004C2"/>
    <w:rsid w:val="00311148"/>
    <w:rsid w:val="003172C0"/>
    <w:rsid w:val="00351261"/>
    <w:rsid w:val="00360F14"/>
    <w:rsid w:val="00361EE9"/>
    <w:rsid w:val="00377769"/>
    <w:rsid w:val="00386782"/>
    <w:rsid w:val="00392BF4"/>
    <w:rsid w:val="003A500C"/>
    <w:rsid w:val="003B12BB"/>
    <w:rsid w:val="0040076A"/>
    <w:rsid w:val="00432822"/>
    <w:rsid w:val="00435845"/>
    <w:rsid w:val="0044445F"/>
    <w:rsid w:val="00446912"/>
    <w:rsid w:val="00456803"/>
    <w:rsid w:val="00460CF6"/>
    <w:rsid w:val="00466BCD"/>
    <w:rsid w:val="004733C7"/>
    <w:rsid w:val="004740B4"/>
    <w:rsid w:val="00495D3E"/>
    <w:rsid w:val="004B1092"/>
    <w:rsid w:val="004B3016"/>
    <w:rsid w:val="004B60FA"/>
    <w:rsid w:val="004C2930"/>
    <w:rsid w:val="004C2D02"/>
    <w:rsid w:val="004D45A2"/>
    <w:rsid w:val="004F4FA2"/>
    <w:rsid w:val="00501442"/>
    <w:rsid w:val="00505E21"/>
    <w:rsid w:val="00510B25"/>
    <w:rsid w:val="005126DA"/>
    <w:rsid w:val="0051652E"/>
    <w:rsid w:val="00531C7C"/>
    <w:rsid w:val="005326E0"/>
    <w:rsid w:val="00552D2B"/>
    <w:rsid w:val="00556472"/>
    <w:rsid w:val="0056589D"/>
    <w:rsid w:val="0058198A"/>
    <w:rsid w:val="00583BCA"/>
    <w:rsid w:val="00590D9C"/>
    <w:rsid w:val="00597E24"/>
    <w:rsid w:val="005A095B"/>
    <w:rsid w:val="005A4575"/>
    <w:rsid w:val="005A51BA"/>
    <w:rsid w:val="005B1C54"/>
    <w:rsid w:val="005C0EAB"/>
    <w:rsid w:val="005C2110"/>
    <w:rsid w:val="005C2118"/>
    <w:rsid w:val="005C47A1"/>
    <w:rsid w:val="005D007D"/>
    <w:rsid w:val="005D1AF3"/>
    <w:rsid w:val="005F207B"/>
    <w:rsid w:val="005F4830"/>
    <w:rsid w:val="00603ABE"/>
    <w:rsid w:val="00612509"/>
    <w:rsid w:val="0063173F"/>
    <w:rsid w:val="00666B84"/>
    <w:rsid w:val="00676678"/>
    <w:rsid w:val="00680BEB"/>
    <w:rsid w:val="00685FFE"/>
    <w:rsid w:val="006A69BB"/>
    <w:rsid w:val="006C60B5"/>
    <w:rsid w:val="006D02AD"/>
    <w:rsid w:val="006D4E09"/>
    <w:rsid w:val="006F08E1"/>
    <w:rsid w:val="006F1EAF"/>
    <w:rsid w:val="006F3A97"/>
    <w:rsid w:val="006F7CAD"/>
    <w:rsid w:val="0070036E"/>
    <w:rsid w:val="00716DC1"/>
    <w:rsid w:val="00740312"/>
    <w:rsid w:val="00747F28"/>
    <w:rsid w:val="007540D3"/>
    <w:rsid w:val="00757F2B"/>
    <w:rsid w:val="00770382"/>
    <w:rsid w:val="00776571"/>
    <w:rsid w:val="00777414"/>
    <w:rsid w:val="0079096B"/>
    <w:rsid w:val="007A2541"/>
    <w:rsid w:val="007A6F82"/>
    <w:rsid w:val="007B4A10"/>
    <w:rsid w:val="007C5AC2"/>
    <w:rsid w:val="007C7844"/>
    <w:rsid w:val="007D2127"/>
    <w:rsid w:val="007D28FD"/>
    <w:rsid w:val="007D2E35"/>
    <w:rsid w:val="007D6906"/>
    <w:rsid w:val="007E0031"/>
    <w:rsid w:val="007E01B1"/>
    <w:rsid w:val="00814DF0"/>
    <w:rsid w:val="0082052C"/>
    <w:rsid w:val="008211A1"/>
    <w:rsid w:val="00842838"/>
    <w:rsid w:val="00860893"/>
    <w:rsid w:val="008613DD"/>
    <w:rsid w:val="00865060"/>
    <w:rsid w:val="00865706"/>
    <w:rsid w:val="008B7576"/>
    <w:rsid w:val="008B7FC2"/>
    <w:rsid w:val="008C70AF"/>
    <w:rsid w:val="008D0623"/>
    <w:rsid w:val="008D3CFC"/>
    <w:rsid w:val="008D58A0"/>
    <w:rsid w:val="008E4625"/>
    <w:rsid w:val="008F0BE7"/>
    <w:rsid w:val="008F0E78"/>
    <w:rsid w:val="008F7837"/>
    <w:rsid w:val="00920A45"/>
    <w:rsid w:val="009311EF"/>
    <w:rsid w:val="009316D2"/>
    <w:rsid w:val="00936AEF"/>
    <w:rsid w:val="00941A91"/>
    <w:rsid w:val="009470FC"/>
    <w:rsid w:val="00957615"/>
    <w:rsid w:val="00971017"/>
    <w:rsid w:val="00971934"/>
    <w:rsid w:val="0097692D"/>
    <w:rsid w:val="009B78A6"/>
    <w:rsid w:val="009D0FA3"/>
    <w:rsid w:val="009D349B"/>
    <w:rsid w:val="009E0904"/>
    <w:rsid w:val="009E2E4D"/>
    <w:rsid w:val="009E4DF4"/>
    <w:rsid w:val="009E6753"/>
    <w:rsid w:val="009F4A7F"/>
    <w:rsid w:val="009F70A9"/>
    <w:rsid w:val="00A002BC"/>
    <w:rsid w:val="00A02067"/>
    <w:rsid w:val="00A10152"/>
    <w:rsid w:val="00A145BE"/>
    <w:rsid w:val="00A15971"/>
    <w:rsid w:val="00A2347C"/>
    <w:rsid w:val="00A35A4F"/>
    <w:rsid w:val="00A520DD"/>
    <w:rsid w:val="00A52838"/>
    <w:rsid w:val="00A545A5"/>
    <w:rsid w:val="00A56623"/>
    <w:rsid w:val="00A578F4"/>
    <w:rsid w:val="00A75540"/>
    <w:rsid w:val="00A75CCF"/>
    <w:rsid w:val="00A87E5E"/>
    <w:rsid w:val="00A964EB"/>
    <w:rsid w:val="00AA6DC6"/>
    <w:rsid w:val="00AC7347"/>
    <w:rsid w:val="00AD0FAE"/>
    <w:rsid w:val="00AD7A9C"/>
    <w:rsid w:val="00AE457F"/>
    <w:rsid w:val="00B01A78"/>
    <w:rsid w:val="00B05589"/>
    <w:rsid w:val="00B1692C"/>
    <w:rsid w:val="00B25DB5"/>
    <w:rsid w:val="00B51BFC"/>
    <w:rsid w:val="00B53B92"/>
    <w:rsid w:val="00B578D7"/>
    <w:rsid w:val="00B67F59"/>
    <w:rsid w:val="00B740AD"/>
    <w:rsid w:val="00B759F6"/>
    <w:rsid w:val="00B90991"/>
    <w:rsid w:val="00B977F7"/>
    <w:rsid w:val="00BA1B3C"/>
    <w:rsid w:val="00BB744C"/>
    <w:rsid w:val="00BC7094"/>
    <w:rsid w:val="00BD5717"/>
    <w:rsid w:val="00BD5C72"/>
    <w:rsid w:val="00BE51FC"/>
    <w:rsid w:val="00BF2E6D"/>
    <w:rsid w:val="00BF7E44"/>
    <w:rsid w:val="00C00B56"/>
    <w:rsid w:val="00C06836"/>
    <w:rsid w:val="00C07932"/>
    <w:rsid w:val="00C11FC2"/>
    <w:rsid w:val="00C13CE0"/>
    <w:rsid w:val="00C36F22"/>
    <w:rsid w:val="00C46AA0"/>
    <w:rsid w:val="00C7238B"/>
    <w:rsid w:val="00C75D82"/>
    <w:rsid w:val="00C8296D"/>
    <w:rsid w:val="00C82C0C"/>
    <w:rsid w:val="00C92F93"/>
    <w:rsid w:val="00CC5959"/>
    <w:rsid w:val="00CD38AC"/>
    <w:rsid w:val="00CE1712"/>
    <w:rsid w:val="00CF1FE6"/>
    <w:rsid w:val="00CF40F8"/>
    <w:rsid w:val="00CF495C"/>
    <w:rsid w:val="00D009B2"/>
    <w:rsid w:val="00D44B79"/>
    <w:rsid w:val="00D508AA"/>
    <w:rsid w:val="00D97EEE"/>
    <w:rsid w:val="00DA15D3"/>
    <w:rsid w:val="00DA7A21"/>
    <w:rsid w:val="00DC2BF3"/>
    <w:rsid w:val="00DD2B51"/>
    <w:rsid w:val="00DE2E17"/>
    <w:rsid w:val="00DF2340"/>
    <w:rsid w:val="00DF413F"/>
    <w:rsid w:val="00DF4AA6"/>
    <w:rsid w:val="00DF5A48"/>
    <w:rsid w:val="00E02A70"/>
    <w:rsid w:val="00E1287A"/>
    <w:rsid w:val="00E4359F"/>
    <w:rsid w:val="00E45956"/>
    <w:rsid w:val="00E51D2D"/>
    <w:rsid w:val="00E60976"/>
    <w:rsid w:val="00E77590"/>
    <w:rsid w:val="00E91C40"/>
    <w:rsid w:val="00EF5F3D"/>
    <w:rsid w:val="00F27A8F"/>
    <w:rsid w:val="00F35E04"/>
    <w:rsid w:val="00F36548"/>
    <w:rsid w:val="00F51DB5"/>
    <w:rsid w:val="00F64AFD"/>
    <w:rsid w:val="00F657A3"/>
    <w:rsid w:val="00FC3672"/>
    <w:rsid w:val="00FC678C"/>
    <w:rsid w:val="00FC6C11"/>
    <w:rsid w:val="00FD762E"/>
    <w:rsid w:val="00FE5177"/>
    <w:rsid w:val="00FF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A3B5"/>
  <w15:docId w15:val="{665258CC-9927-4A9B-982D-20AB5F72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17"/>
    <w:pPr>
      <w:widowControl w:val="0"/>
      <w:spacing w:after="0" w:line="360" w:lineRule="atLeast"/>
      <w:jc w:val="both"/>
    </w:pPr>
    <w:rPr>
      <w:rFonts w:ascii="‚l‚r –¾’©" w:eastAsia="‚l‚r –¾’©" w:hAnsi="Times New Roman" w:cs="Times New Roman"/>
      <w:sz w:val="21"/>
      <w:szCs w:val="20"/>
    </w:rPr>
  </w:style>
  <w:style w:type="paragraph" w:styleId="Heading2">
    <w:name w:val="heading 2"/>
    <w:basedOn w:val="Normal"/>
    <w:next w:val="Normal"/>
    <w:link w:val="Heading2Char"/>
    <w:qFormat/>
    <w:rsid w:val="00DE2E17"/>
    <w:pPr>
      <w:keepNext/>
      <w:framePr w:w="3717" w:h="503" w:hSpace="142" w:vSpace="142" w:wrap="auto" w:vAnchor="text" w:hAnchor="page" w:x="4040" w:y="-578"/>
      <w:jc w:val="center"/>
      <w:outlineLvl w:val="1"/>
    </w:pPr>
    <w:rPr>
      <w:rFonts w:asci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2E17"/>
    <w:rPr>
      <w:rFonts w:ascii="Times New Roman" w:eastAsia="‚l‚r –¾’©" w:hAnsi="Times New Roman" w:cs="Times New Roman"/>
      <w:b/>
      <w:sz w:val="28"/>
      <w:szCs w:val="20"/>
    </w:rPr>
  </w:style>
  <w:style w:type="paragraph" w:styleId="NoSpacing">
    <w:name w:val="No Spacing"/>
    <w:qFormat/>
    <w:rsid w:val="00DE2E17"/>
    <w:pPr>
      <w:spacing w:after="0" w:line="240" w:lineRule="auto"/>
    </w:pPr>
    <w:rPr>
      <w:rFonts w:ascii="Calibri" w:eastAsia="Times New Roman" w:hAnsi="Calibri" w:cs="Times New Roman"/>
    </w:rPr>
  </w:style>
  <w:style w:type="character" w:styleId="Hyperlink">
    <w:name w:val="Hyperlink"/>
    <w:unhideWhenUsed/>
    <w:rsid w:val="004B1092"/>
    <w:rPr>
      <w:color w:val="0000FF"/>
      <w:u w:val="single"/>
    </w:rPr>
  </w:style>
  <w:style w:type="paragraph" w:styleId="BalloonText">
    <w:name w:val="Balloon Text"/>
    <w:basedOn w:val="Normal"/>
    <w:link w:val="BalloonTextChar"/>
    <w:uiPriority w:val="99"/>
    <w:semiHidden/>
    <w:unhideWhenUsed/>
    <w:rsid w:val="005C47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7A1"/>
    <w:rPr>
      <w:rFonts w:ascii="Segoe UI" w:eastAsia="‚l‚r –¾’©" w:hAnsi="Segoe UI" w:cs="Segoe UI"/>
      <w:sz w:val="18"/>
      <w:szCs w:val="18"/>
    </w:rPr>
  </w:style>
  <w:style w:type="paragraph" w:styleId="ListParagraph">
    <w:name w:val="List Paragraph"/>
    <w:basedOn w:val="Normal"/>
    <w:uiPriority w:val="34"/>
    <w:qFormat/>
    <w:rsid w:val="00255238"/>
    <w:pPr>
      <w:ind w:left="720"/>
      <w:contextualSpacing/>
    </w:pPr>
  </w:style>
  <w:style w:type="paragraph" w:styleId="Header">
    <w:name w:val="header"/>
    <w:basedOn w:val="Normal"/>
    <w:link w:val="HeaderChar"/>
    <w:uiPriority w:val="99"/>
    <w:unhideWhenUsed/>
    <w:rsid w:val="005D1AF3"/>
    <w:pPr>
      <w:tabs>
        <w:tab w:val="center" w:pos="4680"/>
        <w:tab w:val="right" w:pos="9360"/>
      </w:tabs>
      <w:spacing w:line="240" w:lineRule="auto"/>
    </w:pPr>
  </w:style>
  <w:style w:type="character" w:customStyle="1" w:styleId="HeaderChar">
    <w:name w:val="Header Char"/>
    <w:basedOn w:val="DefaultParagraphFont"/>
    <w:link w:val="Header"/>
    <w:uiPriority w:val="99"/>
    <w:rsid w:val="005D1AF3"/>
    <w:rPr>
      <w:rFonts w:ascii="‚l‚r –¾’©" w:eastAsia="‚l‚r –¾’©" w:hAnsi="Times New Roman" w:cs="Times New Roman"/>
      <w:sz w:val="21"/>
      <w:szCs w:val="20"/>
    </w:rPr>
  </w:style>
  <w:style w:type="paragraph" w:styleId="Footer">
    <w:name w:val="footer"/>
    <w:basedOn w:val="Normal"/>
    <w:link w:val="FooterChar"/>
    <w:uiPriority w:val="99"/>
    <w:unhideWhenUsed/>
    <w:rsid w:val="005D1AF3"/>
    <w:pPr>
      <w:tabs>
        <w:tab w:val="center" w:pos="4680"/>
        <w:tab w:val="right" w:pos="9360"/>
      </w:tabs>
      <w:spacing w:line="240" w:lineRule="auto"/>
    </w:pPr>
  </w:style>
  <w:style w:type="character" w:customStyle="1" w:styleId="FooterChar">
    <w:name w:val="Footer Char"/>
    <w:basedOn w:val="DefaultParagraphFont"/>
    <w:link w:val="Footer"/>
    <w:uiPriority w:val="99"/>
    <w:rsid w:val="005D1AF3"/>
    <w:rPr>
      <w:rFonts w:ascii="‚l‚r –¾’©" w:eastAsia="‚l‚r –¾’©" w:hAnsi="Times New Roman" w:cs="Times New Roman"/>
      <w:sz w:val="21"/>
      <w:szCs w:val="20"/>
    </w:rPr>
  </w:style>
  <w:style w:type="table" w:styleId="TableGrid">
    <w:name w:val="Table Grid"/>
    <w:basedOn w:val="TableNormal"/>
    <w:uiPriority w:val="39"/>
    <w:rsid w:val="00B5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79C8"/>
    <w:pPr>
      <w:widowControl/>
      <w:spacing w:line="240" w:lineRule="auto"/>
      <w:jc w:val="left"/>
    </w:pPr>
    <w:rPr>
      <w:rFonts w:ascii="Times New Roman" w:eastAsiaTheme="minorHAnsi"/>
      <w:sz w:val="24"/>
      <w:szCs w:val="24"/>
    </w:rPr>
  </w:style>
  <w:style w:type="character" w:styleId="UnresolvedMention">
    <w:name w:val="Unresolved Mention"/>
    <w:basedOn w:val="DefaultParagraphFont"/>
    <w:uiPriority w:val="99"/>
    <w:semiHidden/>
    <w:unhideWhenUsed/>
    <w:rsid w:val="003004C2"/>
    <w:rPr>
      <w:color w:val="605E5C"/>
      <w:shd w:val="clear" w:color="auto" w:fill="E1DFDD"/>
    </w:rPr>
  </w:style>
  <w:style w:type="paragraph" w:customStyle="1" w:styleId="pf0">
    <w:name w:val="pf0"/>
    <w:basedOn w:val="Normal"/>
    <w:rsid w:val="000B1FCA"/>
    <w:pPr>
      <w:widowControl/>
      <w:spacing w:before="100" w:beforeAutospacing="1" w:after="100" w:afterAutospacing="1" w:line="240" w:lineRule="auto"/>
      <w:jc w:val="left"/>
    </w:pPr>
    <w:rPr>
      <w:rFonts w:ascii="Times New Roman" w:eastAsia="Times New Roman"/>
      <w:sz w:val="24"/>
      <w:szCs w:val="24"/>
    </w:rPr>
  </w:style>
  <w:style w:type="character" w:customStyle="1" w:styleId="cf01">
    <w:name w:val="cf01"/>
    <w:basedOn w:val="DefaultParagraphFont"/>
    <w:rsid w:val="000B1FCA"/>
    <w:rPr>
      <w:rFonts w:ascii="Segoe UI" w:hAnsi="Segoe UI" w:cs="Segoe UI" w:hint="default"/>
      <w:sz w:val="21"/>
      <w:szCs w:val="21"/>
    </w:rPr>
  </w:style>
  <w:style w:type="paragraph" w:customStyle="1" w:styleId="p1">
    <w:name w:val="p1"/>
    <w:basedOn w:val="Normal"/>
    <w:rsid w:val="0024651C"/>
    <w:pPr>
      <w:widowControl/>
      <w:spacing w:line="240" w:lineRule="auto"/>
      <w:jc w:val="left"/>
    </w:pPr>
    <w:rPr>
      <w:rFonts w:ascii="Times" w:eastAsia="Times New Roman" w:hAnsi="Times" w:cs="Times"/>
      <w:color w:val="141413"/>
      <w:sz w:val="17"/>
      <w:szCs w:val="17"/>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6867">
      <w:bodyDiv w:val="1"/>
      <w:marLeft w:val="0"/>
      <w:marRight w:val="0"/>
      <w:marTop w:val="0"/>
      <w:marBottom w:val="0"/>
      <w:divBdr>
        <w:top w:val="none" w:sz="0" w:space="0" w:color="auto"/>
        <w:left w:val="none" w:sz="0" w:space="0" w:color="auto"/>
        <w:bottom w:val="none" w:sz="0" w:space="0" w:color="auto"/>
        <w:right w:val="none" w:sz="0" w:space="0" w:color="auto"/>
      </w:divBdr>
    </w:div>
    <w:div w:id="586694576">
      <w:bodyDiv w:val="1"/>
      <w:marLeft w:val="0"/>
      <w:marRight w:val="0"/>
      <w:marTop w:val="0"/>
      <w:marBottom w:val="0"/>
      <w:divBdr>
        <w:top w:val="none" w:sz="0" w:space="0" w:color="auto"/>
        <w:left w:val="none" w:sz="0" w:space="0" w:color="auto"/>
        <w:bottom w:val="none" w:sz="0" w:space="0" w:color="auto"/>
        <w:right w:val="none" w:sz="0" w:space="0" w:color="auto"/>
      </w:divBdr>
    </w:div>
    <w:div w:id="650332898">
      <w:bodyDiv w:val="1"/>
      <w:marLeft w:val="0"/>
      <w:marRight w:val="0"/>
      <w:marTop w:val="0"/>
      <w:marBottom w:val="0"/>
      <w:divBdr>
        <w:top w:val="none" w:sz="0" w:space="0" w:color="auto"/>
        <w:left w:val="none" w:sz="0" w:space="0" w:color="auto"/>
        <w:bottom w:val="none" w:sz="0" w:space="0" w:color="auto"/>
        <w:right w:val="none" w:sz="0" w:space="0" w:color="auto"/>
      </w:divBdr>
    </w:div>
    <w:div w:id="1718893495">
      <w:bodyDiv w:val="1"/>
      <w:marLeft w:val="0"/>
      <w:marRight w:val="0"/>
      <w:marTop w:val="0"/>
      <w:marBottom w:val="0"/>
      <w:divBdr>
        <w:top w:val="none" w:sz="0" w:space="0" w:color="auto"/>
        <w:left w:val="none" w:sz="0" w:space="0" w:color="auto"/>
        <w:bottom w:val="none" w:sz="0" w:space="0" w:color="auto"/>
        <w:right w:val="none" w:sz="0" w:space="0" w:color="auto"/>
      </w:divBdr>
    </w:div>
    <w:div w:id="1804349275">
      <w:bodyDiv w:val="1"/>
      <w:marLeft w:val="0"/>
      <w:marRight w:val="0"/>
      <w:marTop w:val="0"/>
      <w:marBottom w:val="0"/>
      <w:divBdr>
        <w:top w:val="none" w:sz="0" w:space="0" w:color="auto"/>
        <w:left w:val="none" w:sz="0" w:space="0" w:color="auto"/>
        <w:bottom w:val="none" w:sz="0" w:space="0" w:color="auto"/>
        <w:right w:val="none" w:sz="0" w:space="0" w:color="auto"/>
      </w:divBdr>
    </w:div>
    <w:div w:id="1953172858">
      <w:bodyDiv w:val="1"/>
      <w:marLeft w:val="0"/>
      <w:marRight w:val="0"/>
      <w:marTop w:val="0"/>
      <w:marBottom w:val="0"/>
      <w:divBdr>
        <w:top w:val="none" w:sz="0" w:space="0" w:color="auto"/>
        <w:left w:val="none" w:sz="0" w:space="0" w:color="auto"/>
        <w:bottom w:val="none" w:sz="0" w:space="0" w:color="auto"/>
        <w:right w:val="none" w:sz="0" w:space="0" w:color="auto"/>
      </w:divBdr>
    </w:div>
    <w:div w:id="211867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AE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B8BF5-76CB-431E-A093-57DAF53A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Arsita S Pratap</dc:creator>
  <cp:lastModifiedBy>Teall Crossen</cp:lastModifiedBy>
  <cp:revision>18</cp:revision>
  <cp:lastPrinted>2025-07-28T00:49:00Z</cp:lastPrinted>
  <dcterms:created xsi:type="dcterms:W3CDTF">2025-12-15T01:58:00Z</dcterms:created>
  <dcterms:modified xsi:type="dcterms:W3CDTF">2025-12-17T02:11:00Z</dcterms:modified>
</cp:coreProperties>
</file>